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24D78" w14:textId="77777777" w:rsidR="00011637" w:rsidRDefault="00011637">
      <w:pPr>
        <w:pStyle w:val="LO-normal"/>
        <w:ind w:left="-720" w:right="720"/>
        <w:jc w:val="both"/>
        <w:rPr>
          <w:sz w:val="20"/>
          <w:szCs w:val="20"/>
        </w:rPr>
      </w:pPr>
    </w:p>
    <w:p w14:paraId="03F2C8E4" w14:textId="77777777" w:rsidR="00011637" w:rsidRDefault="00000000">
      <w:pPr>
        <w:pStyle w:val="Standard"/>
        <w:pBdr>
          <w:top w:val="single" w:sz="4" w:space="1" w:color="000000"/>
          <w:left w:val="single" w:sz="4" w:space="1" w:color="000000"/>
          <w:bottom w:val="single" w:sz="4" w:space="1" w:color="000000"/>
          <w:right w:val="single" w:sz="4" w:space="1" w:color="000000"/>
        </w:pBdr>
        <w:tabs>
          <w:tab w:val="left" w:pos="3119"/>
        </w:tabs>
        <w:jc w:val="center"/>
      </w:pPr>
      <w:r>
        <w:rPr>
          <w:rFonts w:ascii="Times New Roman" w:eastAsia="Arial Unicode MS" w:hAnsi="Times New Roman"/>
          <w:b/>
          <w:bCs/>
          <w:color w:val="000000"/>
          <w:lang w:val="es-ES_tradnl" w:eastAsia="es-MX"/>
        </w:rPr>
        <w:t xml:space="preserve">      Provincia de Buenos Aires - Dirección General de Cultura y Educación - </w:t>
      </w:r>
      <w:r>
        <w:rPr>
          <w:rFonts w:ascii="Times New Roman" w:eastAsia="Arial Unicode MS" w:hAnsi="Times New Roman"/>
          <w:b/>
          <w:iCs/>
          <w:lang w:val="es-ES_tradnl" w:eastAsia="es-MX"/>
        </w:rPr>
        <w:t xml:space="preserve"> Dirección de Educación Superior </w:t>
      </w:r>
      <w:r>
        <w:rPr>
          <w:rFonts w:ascii="Times New Roman" w:eastAsia="Arial Unicode MS" w:hAnsi="Times New Roman"/>
          <w:b/>
          <w:bCs/>
          <w:color w:val="000000"/>
          <w:lang w:val="es-ES_tradnl" w:eastAsia="es-MX"/>
        </w:rPr>
        <w:t>Instituto Superior de Formación Docente y Técnica Nº 46 “2 de abril de 1982”</w:t>
      </w:r>
    </w:p>
    <w:p w14:paraId="14119392" w14:textId="77777777" w:rsidR="00011637" w:rsidRDefault="00000000">
      <w:pPr>
        <w:pStyle w:val="Standard"/>
        <w:pBdr>
          <w:top w:val="single" w:sz="4" w:space="1" w:color="000000"/>
          <w:left w:val="single" w:sz="4" w:space="1" w:color="000000"/>
          <w:bottom w:val="single" w:sz="4" w:space="1" w:color="000000"/>
          <w:right w:val="single" w:sz="4" w:space="1" w:color="000000"/>
        </w:pBdr>
        <w:tabs>
          <w:tab w:val="left" w:pos="3119"/>
        </w:tabs>
        <w:jc w:val="center"/>
      </w:pPr>
      <w:r>
        <w:rPr>
          <w:rFonts w:ascii="Times New Roman" w:eastAsia="Arial Unicode MS" w:hAnsi="Times New Roman"/>
          <w:b/>
          <w:bCs/>
          <w:color w:val="000000"/>
          <w:lang w:val="es-ES_tradnl" w:eastAsia="es-MX"/>
        </w:rPr>
        <w:t xml:space="preserve">Sede: Pueyrredón 1250 - </w:t>
      </w:r>
      <w:proofErr w:type="spellStart"/>
      <w:r>
        <w:rPr>
          <w:rFonts w:ascii="Times New Roman" w:eastAsia="Arial Unicode MS" w:hAnsi="Times New Roman"/>
          <w:b/>
          <w:bCs/>
          <w:color w:val="000000"/>
          <w:lang w:val="es-ES_tradnl" w:eastAsia="es-MX"/>
        </w:rPr>
        <w:t>Sub-sede</w:t>
      </w:r>
      <w:proofErr w:type="spellEnd"/>
      <w:r>
        <w:rPr>
          <w:rFonts w:ascii="Times New Roman" w:eastAsia="Arial Unicode MS" w:hAnsi="Times New Roman"/>
          <w:b/>
          <w:bCs/>
          <w:color w:val="000000"/>
          <w:lang w:val="es-ES_tradnl" w:eastAsia="es-MX"/>
        </w:rPr>
        <w:t>:</w:t>
      </w:r>
      <w:r>
        <w:t xml:space="preserve"> </w:t>
      </w:r>
      <w:r>
        <w:rPr>
          <w:rFonts w:ascii="Times New Roman" w:eastAsia="Arial Unicode MS" w:hAnsi="Times New Roman"/>
          <w:b/>
          <w:bCs/>
          <w:color w:val="000000"/>
          <w:lang w:val="es-ES_tradnl" w:eastAsia="es-MX"/>
        </w:rPr>
        <w:t>Pueyrredón 914 -  Ramos Mejía - La Matanza</w:t>
      </w:r>
    </w:p>
    <w:p w14:paraId="0156F91F" w14:textId="77777777" w:rsidR="00011637" w:rsidRDefault="00000000">
      <w:pPr>
        <w:pStyle w:val="Standard"/>
        <w:pBdr>
          <w:top w:val="single" w:sz="4" w:space="1" w:color="000000"/>
          <w:left w:val="single" w:sz="4" w:space="1" w:color="000000"/>
          <w:bottom w:val="single" w:sz="4" w:space="1" w:color="000000"/>
          <w:right w:val="single" w:sz="4" w:space="1" w:color="000000"/>
        </w:pBdr>
        <w:tabs>
          <w:tab w:val="left" w:pos="3119"/>
        </w:tabs>
        <w:jc w:val="center"/>
      </w:pPr>
      <w:hyperlink r:id="rId7" w:history="1">
        <w:r>
          <w:rPr>
            <w:rStyle w:val="Internetlink"/>
            <w:rFonts w:ascii="Times New Roman" w:eastAsia="Arial Unicode MS" w:hAnsi="Times New Roman"/>
            <w:b/>
            <w:bCs/>
            <w:u w:val="none"/>
            <w:lang w:val="es-MX" w:eastAsia="es-MX"/>
          </w:rPr>
          <w:t>www.instituto46.edu.ar</w:t>
        </w:r>
      </w:hyperlink>
      <w:r>
        <w:rPr>
          <w:rFonts w:ascii="Times New Roman" w:eastAsia="Arial Unicode MS" w:hAnsi="Times New Roman"/>
          <w:b/>
          <w:bCs/>
          <w:color w:val="000000"/>
          <w:lang w:val="es-MX" w:eastAsia="es-MX"/>
        </w:rPr>
        <w:t xml:space="preserve"> - @instituo.46   </w:t>
      </w:r>
    </w:p>
    <w:p w14:paraId="009FCCC5" w14:textId="77777777" w:rsidR="00011637" w:rsidRDefault="00011637">
      <w:pPr>
        <w:pStyle w:val="LO-normal"/>
        <w:ind w:left="-720" w:right="720"/>
        <w:jc w:val="both"/>
        <w:rPr>
          <w:sz w:val="20"/>
          <w:szCs w:val="20"/>
        </w:rPr>
      </w:pPr>
    </w:p>
    <w:p w14:paraId="0D7F3F05" w14:textId="77777777" w:rsidR="00011637" w:rsidRDefault="00000000">
      <w:pPr>
        <w:pStyle w:val="LO-normal"/>
        <w:ind w:left="-720"/>
        <w:jc w:val="both"/>
        <w:rPr>
          <w:sz w:val="20"/>
          <w:szCs w:val="20"/>
        </w:rPr>
      </w:pPr>
      <w:r>
        <w:rPr>
          <w:sz w:val="20"/>
          <w:szCs w:val="20"/>
        </w:rPr>
        <w:t>CARRERA: PROFESORADO DE EDUCACIÓN SECUNDARIA EN BIOLOGIA</w:t>
      </w:r>
    </w:p>
    <w:p w14:paraId="65A14A30" w14:textId="77777777" w:rsidR="00011637" w:rsidRDefault="00000000">
      <w:pPr>
        <w:pStyle w:val="LO-normal"/>
        <w:ind w:left="-720"/>
        <w:jc w:val="both"/>
        <w:rPr>
          <w:sz w:val="20"/>
          <w:szCs w:val="20"/>
        </w:rPr>
      </w:pPr>
      <w:r>
        <w:rPr>
          <w:sz w:val="20"/>
          <w:szCs w:val="20"/>
        </w:rPr>
        <w:t>CURSO Y COMISIÓN: 2 A Y 2 B</w:t>
      </w:r>
    </w:p>
    <w:p w14:paraId="77A7FACC" w14:textId="77777777" w:rsidR="00011637" w:rsidRDefault="00000000">
      <w:pPr>
        <w:pStyle w:val="LO-normal"/>
        <w:ind w:left="-720"/>
        <w:jc w:val="both"/>
        <w:rPr>
          <w:sz w:val="20"/>
          <w:szCs w:val="20"/>
        </w:rPr>
      </w:pPr>
      <w:r>
        <w:rPr>
          <w:sz w:val="20"/>
          <w:szCs w:val="20"/>
        </w:rPr>
        <w:t>ESPACIO CURRICULAR: ANÁLISIS DE LAS INSTITUCIONES EDUCATIVAS</w:t>
      </w:r>
    </w:p>
    <w:p w14:paraId="024D6717" w14:textId="77777777" w:rsidR="00011637" w:rsidRDefault="00000000">
      <w:pPr>
        <w:pStyle w:val="LO-normal"/>
        <w:ind w:left="-720"/>
        <w:jc w:val="both"/>
        <w:rPr>
          <w:sz w:val="20"/>
          <w:szCs w:val="20"/>
        </w:rPr>
      </w:pPr>
      <w:r>
        <w:rPr>
          <w:sz w:val="20"/>
          <w:szCs w:val="20"/>
        </w:rPr>
        <w:t>PROFESOR: AMI DIAZ BIGLIA, SANTIAGO GABRIEL</w:t>
      </w:r>
    </w:p>
    <w:p w14:paraId="6E787DF2" w14:textId="77777777" w:rsidR="00011637" w:rsidRDefault="00000000">
      <w:pPr>
        <w:pStyle w:val="LO-normal"/>
        <w:ind w:left="-720"/>
        <w:jc w:val="both"/>
        <w:rPr>
          <w:sz w:val="20"/>
          <w:szCs w:val="20"/>
        </w:rPr>
      </w:pPr>
      <w:r>
        <w:rPr>
          <w:sz w:val="20"/>
          <w:szCs w:val="20"/>
        </w:rPr>
        <w:t>CORREO ELECTRONICO: ichbinami@gmail.com</w:t>
      </w:r>
    </w:p>
    <w:p w14:paraId="1F84ADA5" w14:textId="77777777" w:rsidR="00011637" w:rsidRDefault="00000000">
      <w:pPr>
        <w:pStyle w:val="LO-normal"/>
        <w:ind w:left="-720"/>
        <w:jc w:val="both"/>
        <w:rPr>
          <w:sz w:val="20"/>
          <w:szCs w:val="20"/>
        </w:rPr>
      </w:pPr>
      <w:r>
        <w:rPr>
          <w:sz w:val="20"/>
          <w:szCs w:val="20"/>
        </w:rPr>
        <w:t>CANTIDAD DE HORAS SEMANALES: 2</w:t>
      </w:r>
    </w:p>
    <w:p w14:paraId="40065FBE" w14:textId="77777777" w:rsidR="00011637" w:rsidRDefault="00011637">
      <w:pPr>
        <w:pStyle w:val="LO-normal"/>
        <w:ind w:left="-720"/>
        <w:jc w:val="both"/>
        <w:rPr>
          <w:sz w:val="20"/>
          <w:szCs w:val="20"/>
        </w:rPr>
      </w:pPr>
    </w:p>
    <w:p w14:paraId="4F93DCD5" w14:textId="77777777" w:rsidR="00011637" w:rsidRDefault="00000000">
      <w:pPr>
        <w:pStyle w:val="LO-normal"/>
        <w:ind w:left="-720"/>
        <w:jc w:val="both"/>
        <w:rPr>
          <w:sz w:val="20"/>
          <w:szCs w:val="20"/>
        </w:rPr>
      </w:pPr>
      <w:r>
        <w:rPr>
          <w:sz w:val="20"/>
          <w:szCs w:val="20"/>
        </w:rPr>
        <w:t>EXPECTATIVAS DE LOGRO</w:t>
      </w:r>
    </w:p>
    <w:p w14:paraId="768BA4ED" w14:textId="77777777" w:rsidR="00011637" w:rsidRDefault="00011637">
      <w:pPr>
        <w:pStyle w:val="LO-normal"/>
        <w:ind w:left="-720"/>
        <w:jc w:val="both"/>
        <w:rPr>
          <w:sz w:val="20"/>
          <w:szCs w:val="20"/>
        </w:rPr>
      </w:pPr>
    </w:p>
    <w:p w14:paraId="66431839" w14:textId="77777777" w:rsidR="00011637" w:rsidRDefault="00000000">
      <w:pPr>
        <w:pStyle w:val="LO-normal"/>
        <w:ind w:left="-720"/>
        <w:jc w:val="both"/>
        <w:rPr>
          <w:sz w:val="20"/>
          <w:szCs w:val="20"/>
        </w:rPr>
      </w:pPr>
      <w:r>
        <w:rPr>
          <w:sz w:val="20"/>
          <w:szCs w:val="20"/>
        </w:rPr>
        <w:t>Al finalizar el curso, los estudiantes podrán:</w:t>
      </w:r>
    </w:p>
    <w:p w14:paraId="370533ED" w14:textId="77777777" w:rsidR="00011637" w:rsidRDefault="00000000">
      <w:pPr>
        <w:pStyle w:val="LO-normal"/>
        <w:ind w:left="-720"/>
        <w:jc w:val="both"/>
        <w:rPr>
          <w:sz w:val="20"/>
          <w:szCs w:val="20"/>
        </w:rPr>
      </w:pPr>
      <w:r>
        <w:rPr>
          <w:sz w:val="20"/>
          <w:szCs w:val="20"/>
        </w:rPr>
        <w:t>- Obtener un marco referencial mucho más rico en torno a lo institucional.</w:t>
      </w:r>
    </w:p>
    <w:p w14:paraId="5DA5D02E" w14:textId="77777777" w:rsidR="00011637" w:rsidRDefault="00000000">
      <w:pPr>
        <w:pStyle w:val="LO-normal"/>
        <w:ind w:left="-720"/>
        <w:jc w:val="both"/>
        <w:rPr>
          <w:sz w:val="20"/>
          <w:szCs w:val="20"/>
        </w:rPr>
      </w:pPr>
      <w:r>
        <w:rPr>
          <w:sz w:val="20"/>
          <w:szCs w:val="20"/>
        </w:rPr>
        <w:t>- Evaluar el rol de lo grupal en torno a la configuración institucional.</w:t>
      </w:r>
    </w:p>
    <w:p w14:paraId="3D3060AF" w14:textId="77777777" w:rsidR="00011637" w:rsidRDefault="00000000">
      <w:pPr>
        <w:pStyle w:val="LO-normal"/>
        <w:ind w:left="-720"/>
        <w:jc w:val="both"/>
        <w:rPr>
          <w:sz w:val="20"/>
          <w:szCs w:val="20"/>
        </w:rPr>
      </w:pPr>
      <w:r>
        <w:rPr>
          <w:sz w:val="20"/>
          <w:szCs w:val="20"/>
        </w:rPr>
        <w:t>- Relacionar los conceptos de sujeto, sociedad, Estado e institución escolar.</w:t>
      </w:r>
    </w:p>
    <w:p w14:paraId="03F9E99A" w14:textId="77777777" w:rsidR="00011637" w:rsidRDefault="00000000">
      <w:pPr>
        <w:pStyle w:val="LO-normal"/>
        <w:ind w:left="-720"/>
        <w:jc w:val="both"/>
        <w:rPr>
          <w:sz w:val="20"/>
          <w:szCs w:val="20"/>
        </w:rPr>
      </w:pPr>
      <w:r>
        <w:rPr>
          <w:sz w:val="20"/>
          <w:szCs w:val="20"/>
        </w:rPr>
        <w:t>- Diferenciar la institución escolar de otro tipo de instituciones.</w:t>
      </w:r>
    </w:p>
    <w:p w14:paraId="25836C20" w14:textId="77777777" w:rsidR="00011637" w:rsidRDefault="00011637">
      <w:pPr>
        <w:pStyle w:val="LO-normal"/>
        <w:ind w:left="-720"/>
        <w:jc w:val="both"/>
        <w:rPr>
          <w:sz w:val="20"/>
          <w:szCs w:val="20"/>
        </w:rPr>
      </w:pPr>
    </w:p>
    <w:p w14:paraId="3DD7BD6D" w14:textId="77777777" w:rsidR="00011637" w:rsidRDefault="00000000">
      <w:pPr>
        <w:pStyle w:val="LO-normal"/>
        <w:ind w:left="-720"/>
        <w:jc w:val="both"/>
        <w:rPr>
          <w:sz w:val="20"/>
          <w:szCs w:val="20"/>
        </w:rPr>
      </w:pPr>
      <w:r>
        <w:rPr>
          <w:sz w:val="20"/>
          <w:szCs w:val="20"/>
        </w:rPr>
        <w:t>CONTENIDOS</w:t>
      </w:r>
    </w:p>
    <w:p w14:paraId="188AC21C" w14:textId="77777777" w:rsidR="00011637" w:rsidRDefault="00011637">
      <w:pPr>
        <w:pStyle w:val="LO-normal"/>
        <w:ind w:left="-720"/>
        <w:jc w:val="both"/>
        <w:rPr>
          <w:b/>
          <w:sz w:val="20"/>
          <w:szCs w:val="20"/>
          <w:u w:val="single"/>
        </w:rPr>
      </w:pPr>
    </w:p>
    <w:p w14:paraId="1E4578E7" w14:textId="77777777" w:rsidR="00011637" w:rsidRDefault="00000000">
      <w:pPr>
        <w:pStyle w:val="LO-normal"/>
        <w:ind w:left="-720" w:right="-180"/>
        <w:jc w:val="both"/>
      </w:pPr>
      <w:r>
        <w:rPr>
          <w:b/>
          <w:bCs/>
          <w:sz w:val="20"/>
          <w:szCs w:val="20"/>
        </w:rPr>
        <w:t>Unidad 1.</w:t>
      </w:r>
      <w:r>
        <w:rPr>
          <w:sz w:val="20"/>
          <w:szCs w:val="20"/>
        </w:rPr>
        <w:t xml:space="preserve"> Vida cotidiana y escuela. Instituciones y sociedad. Escuela como institución distinguida. Estado, sociedad e instituciones. Proceso histórico de luchas en la configuración de las instituciones.</w:t>
      </w:r>
    </w:p>
    <w:p w14:paraId="6A3BE964" w14:textId="77777777" w:rsidR="00011637" w:rsidRDefault="00011637">
      <w:pPr>
        <w:pStyle w:val="LO-normal"/>
        <w:ind w:left="-720" w:right="-180"/>
        <w:jc w:val="both"/>
        <w:rPr>
          <w:sz w:val="20"/>
          <w:szCs w:val="20"/>
        </w:rPr>
      </w:pPr>
    </w:p>
    <w:p w14:paraId="1775995E" w14:textId="77777777" w:rsidR="00011637" w:rsidRDefault="00000000">
      <w:pPr>
        <w:pStyle w:val="LO-normal"/>
        <w:ind w:left="-720" w:right="-900"/>
        <w:jc w:val="both"/>
        <w:rPr>
          <w:sz w:val="20"/>
          <w:szCs w:val="20"/>
        </w:rPr>
      </w:pPr>
      <w:r>
        <w:rPr>
          <w:sz w:val="20"/>
          <w:szCs w:val="20"/>
        </w:rPr>
        <w:t>BIBLIOGRAFÍA</w:t>
      </w:r>
    </w:p>
    <w:p w14:paraId="15895E2D" w14:textId="77777777" w:rsidR="00011637" w:rsidRDefault="00011637">
      <w:pPr>
        <w:pStyle w:val="LO-normal"/>
        <w:ind w:left="-720" w:right="-900"/>
        <w:jc w:val="both"/>
        <w:rPr>
          <w:sz w:val="20"/>
          <w:szCs w:val="20"/>
        </w:rPr>
      </w:pPr>
    </w:p>
    <w:p w14:paraId="51EEB292" w14:textId="77777777" w:rsidR="00011637" w:rsidRDefault="00000000">
      <w:pPr>
        <w:pStyle w:val="LO-normal"/>
        <w:ind w:left="-720" w:right="-900"/>
        <w:jc w:val="both"/>
      </w:pPr>
      <w:r>
        <w:rPr>
          <w:sz w:val="20"/>
          <w:szCs w:val="20"/>
        </w:rPr>
        <w:t xml:space="preserve">- Abad, S. y </w:t>
      </w:r>
      <w:proofErr w:type="spellStart"/>
      <w:r>
        <w:rPr>
          <w:sz w:val="20"/>
          <w:szCs w:val="20"/>
        </w:rPr>
        <w:t>Cantarelli</w:t>
      </w:r>
      <w:proofErr w:type="spellEnd"/>
      <w:r>
        <w:rPr>
          <w:sz w:val="20"/>
          <w:szCs w:val="20"/>
        </w:rPr>
        <w:t xml:space="preserve">, M. (2010). </w:t>
      </w:r>
      <w:r>
        <w:rPr>
          <w:i/>
          <w:iCs/>
          <w:sz w:val="20"/>
          <w:szCs w:val="20"/>
        </w:rPr>
        <w:t xml:space="preserve">Habitar el Estado. Pensamiento estatal en tiempos a-estatales. </w:t>
      </w:r>
      <w:r>
        <w:rPr>
          <w:sz w:val="20"/>
          <w:szCs w:val="20"/>
        </w:rPr>
        <w:t>Hydra.</w:t>
      </w:r>
    </w:p>
    <w:p w14:paraId="4D457D28" w14:textId="77777777" w:rsidR="00011637" w:rsidRDefault="00000000">
      <w:pPr>
        <w:pStyle w:val="LO-normal"/>
        <w:ind w:left="-720" w:right="-900"/>
        <w:jc w:val="both"/>
      </w:pPr>
      <w:r>
        <w:rPr>
          <w:rFonts w:cs="Arial"/>
          <w:sz w:val="20"/>
          <w:szCs w:val="20"/>
        </w:rPr>
        <w:t xml:space="preserve">- Espinosa Gómez, D. R. (julio-diciembre 2017). La escuela no es una empresa, ni la educación un negocio. </w:t>
      </w:r>
      <w:r>
        <w:rPr>
          <w:rFonts w:cs="Arial"/>
          <w:i/>
          <w:iCs/>
          <w:sz w:val="20"/>
          <w:szCs w:val="20"/>
        </w:rPr>
        <w:t>Praxis pedagógica</w:t>
      </w:r>
      <w:r>
        <w:rPr>
          <w:rFonts w:cs="Arial"/>
          <w:sz w:val="20"/>
          <w:szCs w:val="20"/>
        </w:rPr>
        <w:t>, 21, pp. 407-425.</w:t>
      </w:r>
    </w:p>
    <w:p w14:paraId="7DDF3381" w14:textId="77777777" w:rsidR="00011637" w:rsidRDefault="00000000">
      <w:pPr>
        <w:pStyle w:val="LO-normal"/>
        <w:ind w:left="-720" w:right="-900"/>
        <w:jc w:val="both"/>
      </w:pPr>
      <w:r>
        <w:rPr>
          <w:rFonts w:cs="Arial"/>
          <w:sz w:val="20"/>
          <w:szCs w:val="20"/>
        </w:rPr>
        <w:t xml:space="preserve">- Fernandez, L. (1994). </w:t>
      </w:r>
      <w:r>
        <w:rPr>
          <w:rFonts w:cs="Arial"/>
          <w:i/>
          <w:iCs/>
          <w:sz w:val="20"/>
          <w:szCs w:val="20"/>
        </w:rPr>
        <w:t xml:space="preserve">Instituciones educativas. Dinámicas institucionales en situaciones críticas. </w:t>
      </w:r>
      <w:r>
        <w:rPr>
          <w:rFonts w:cs="Arial"/>
          <w:sz w:val="20"/>
          <w:szCs w:val="20"/>
        </w:rPr>
        <w:t>Paidós. Cap. 1 y 2</w:t>
      </w:r>
    </w:p>
    <w:p w14:paraId="76C7E31B" w14:textId="77777777" w:rsidR="00011637" w:rsidRDefault="00000000">
      <w:pPr>
        <w:pStyle w:val="LO-normal"/>
        <w:ind w:left="-720" w:right="-900"/>
        <w:jc w:val="both"/>
      </w:pPr>
      <w:r>
        <w:rPr>
          <w:rFonts w:cs="Arial"/>
          <w:sz w:val="20"/>
          <w:szCs w:val="20"/>
        </w:rPr>
        <w:t xml:space="preserve">- Goffman, E. (1981). </w:t>
      </w:r>
      <w:r>
        <w:rPr>
          <w:rFonts w:cs="Arial"/>
          <w:i/>
          <w:iCs/>
          <w:sz w:val="20"/>
          <w:szCs w:val="20"/>
        </w:rPr>
        <w:t>La presentación de la persona en la vida cotidiana</w:t>
      </w:r>
      <w:r>
        <w:rPr>
          <w:rFonts w:cs="Arial"/>
          <w:sz w:val="20"/>
          <w:szCs w:val="20"/>
        </w:rPr>
        <w:t>. Amorrortu Editores. Introducción y cap. 1.</w:t>
      </w:r>
    </w:p>
    <w:p w14:paraId="6D607DC3" w14:textId="77777777" w:rsidR="00011637" w:rsidRDefault="00000000">
      <w:pPr>
        <w:pStyle w:val="LO-normal"/>
        <w:ind w:left="-720" w:right="-900"/>
        <w:jc w:val="both"/>
      </w:pPr>
      <w:r>
        <w:rPr>
          <w:rFonts w:cs="Arial"/>
          <w:sz w:val="20"/>
          <w:szCs w:val="20"/>
        </w:rPr>
        <w:t xml:space="preserve">- </w:t>
      </w:r>
      <w:proofErr w:type="spellStart"/>
      <w:r>
        <w:rPr>
          <w:rFonts w:cs="Arial"/>
          <w:sz w:val="20"/>
          <w:szCs w:val="20"/>
        </w:rPr>
        <w:t>Kazi</w:t>
      </w:r>
      <w:proofErr w:type="spellEnd"/>
      <w:r>
        <w:rPr>
          <w:rFonts w:cs="Arial"/>
          <w:sz w:val="20"/>
          <w:szCs w:val="20"/>
        </w:rPr>
        <w:t xml:space="preserve">, G. (2006). Hacia una psicología social histórica. Ediciones Madres de Plaza de Mayo. </w:t>
      </w:r>
      <w:proofErr w:type="spellStart"/>
      <w:r>
        <w:rPr>
          <w:rFonts w:cs="Arial"/>
          <w:sz w:val="20"/>
          <w:szCs w:val="20"/>
        </w:rPr>
        <w:t>Cap</w:t>
      </w:r>
      <w:proofErr w:type="spellEnd"/>
      <w:r>
        <w:rPr>
          <w:rFonts w:cs="Arial"/>
          <w:sz w:val="20"/>
          <w:szCs w:val="20"/>
        </w:rPr>
        <w:t xml:space="preserve"> 1.</w:t>
      </w:r>
    </w:p>
    <w:p w14:paraId="29C5A4E4" w14:textId="77777777" w:rsidR="00011637" w:rsidRDefault="00000000">
      <w:pPr>
        <w:pStyle w:val="LO-normal"/>
        <w:ind w:left="-720" w:right="-900"/>
        <w:jc w:val="both"/>
      </w:pPr>
      <w:r>
        <w:rPr>
          <w:rFonts w:cs="Arial"/>
          <w:sz w:val="20"/>
          <w:szCs w:val="20"/>
        </w:rPr>
        <w:t xml:space="preserve">- Márquez, V. (1983). </w:t>
      </w:r>
      <w:r>
        <w:rPr>
          <w:rFonts w:cs="Arial"/>
          <w:i/>
          <w:iCs/>
          <w:sz w:val="20"/>
          <w:szCs w:val="20"/>
        </w:rPr>
        <w:t>Para una sociología de la vida cotidiana</w:t>
      </w:r>
      <w:r>
        <w:rPr>
          <w:rFonts w:cs="Arial"/>
          <w:sz w:val="20"/>
          <w:szCs w:val="20"/>
        </w:rPr>
        <w:t xml:space="preserve">. Editorial Anagrama. </w:t>
      </w:r>
      <w:proofErr w:type="spellStart"/>
      <w:r>
        <w:rPr>
          <w:rFonts w:cs="Arial"/>
          <w:sz w:val="20"/>
          <w:szCs w:val="20"/>
        </w:rPr>
        <w:t>Cap</w:t>
      </w:r>
      <w:proofErr w:type="spellEnd"/>
      <w:r>
        <w:rPr>
          <w:rFonts w:cs="Arial"/>
          <w:sz w:val="20"/>
          <w:szCs w:val="20"/>
        </w:rPr>
        <w:t xml:space="preserve"> 1.</w:t>
      </w:r>
    </w:p>
    <w:p w14:paraId="1E538CD5" w14:textId="77777777" w:rsidR="00011637" w:rsidRDefault="00011637">
      <w:pPr>
        <w:pStyle w:val="LO-normal"/>
        <w:ind w:left="-720" w:right="-900"/>
        <w:jc w:val="both"/>
        <w:rPr>
          <w:rFonts w:cs="Arial"/>
          <w:sz w:val="20"/>
          <w:szCs w:val="20"/>
        </w:rPr>
      </w:pPr>
    </w:p>
    <w:p w14:paraId="064E7E3B" w14:textId="77777777" w:rsidR="00011637" w:rsidRDefault="00000000">
      <w:pPr>
        <w:pStyle w:val="LO-normal"/>
        <w:ind w:left="-720" w:right="-180"/>
        <w:jc w:val="both"/>
      </w:pPr>
      <w:r>
        <w:rPr>
          <w:rFonts w:cs="Arial"/>
          <w:b/>
          <w:bCs/>
          <w:sz w:val="20"/>
          <w:szCs w:val="20"/>
        </w:rPr>
        <w:t>Unidad 2.</w:t>
      </w:r>
      <w:r>
        <w:rPr>
          <w:rFonts w:cs="Arial"/>
          <w:sz w:val="20"/>
          <w:szCs w:val="20"/>
        </w:rPr>
        <w:t xml:space="preserve"> Instituido e instituyente. Relaciones sociales e instituciones. Sujeto como sustrato de la institución. </w:t>
      </w:r>
      <w:proofErr w:type="spellStart"/>
      <w:r>
        <w:rPr>
          <w:rFonts w:cs="Arial"/>
          <w:sz w:val="20"/>
          <w:szCs w:val="20"/>
        </w:rPr>
        <w:t>Subjetivdad</w:t>
      </w:r>
      <w:proofErr w:type="spellEnd"/>
      <w:r>
        <w:rPr>
          <w:rFonts w:cs="Arial"/>
          <w:sz w:val="20"/>
          <w:szCs w:val="20"/>
        </w:rPr>
        <w:t xml:space="preserve">, relato, vida personal y sociedad. Escuela secundaria y fracaso escolar. Abordaje de conflictos y </w:t>
      </w:r>
      <w:proofErr w:type="spellStart"/>
      <w:r>
        <w:rPr>
          <w:rFonts w:cs="Arial"/>
          <w:sz w:val="20"/>
          <w:szCs w:val="20"/>
        </w:rPr>
        <w:t>amorosidad</w:t>
      </w:r>
      <w:proofErr w:type="spellEnd"/>
      <w:r>
        <w:rPr>
          <w:rFonts w:cs="Arial"/>
          <w:sz w:val="20"/>
          <w:szCs w:val="20"/>
        </w:rPr>
        <w:t xml:space="preserve">. </w:t>
      </w:r>
      <w:proofErr w:type="spellStart"/>
      <w:r>
        <w:rPr>
          <w:rFonts w:cs="Arial"/>
          <w:sz w:val="20"/>
          <w:szCs w:val="20"/>
        </w:rPr>
        <w:t>Esi</w:t>
      </w:r>
      <w:proofErr w:type="spellEnd"/>
      <w:r>
        <w:rPr>
          <w:rFonts w:cs="Arial"/>
          <w:sz w:val="20"/>
          <w:szCs w:val="20"/>
        </w:rPr>
        <w:t xml:space="preserve"> como perspectiva instituciones de la disrupción.</w:t>
      </w:r>
    </w:p>
    <w:p w14:paraId="0C4D4F6A" w14:textId="77777777" w:rsidR="00011637" w:rsidRDefault="00011637">
      <w:pPr>
        <w:pStyle w:val="LO-normal"/>
        <w:ind w:left="-720" w:right="-180"/>
        <w:jc w:val="both"/>
        <w:rPr>
          <w:rFonts w:cs="Arial"/>
          <w:sz w:val="20"/>
          <w:szCs w:val="20"/>
        </w:rPr>
      </w:pPr>
    </w:p>
    <w:p w14:paraId="0CEC4EE8" w14:textId="77777777" w:rsidR="00011637" w:rsidRDefault="00000000">
      <w:pPr>
        <w:pStyle w:val="LO-normal"/>
        <w:ind w:left="-720" w:right="-900"/>
        <w:jc w:val="both"/>
      </w:pPr>
      <w:r>
        <w:rPr>
          <w:rFonts w:cs="Arial"/>
          <w:sz w:val="20"/>
          <w:szCs w:val="20"/>
        </w:rPr>
        <w:t xml:space="preserve">- Bleichmar, S. (2008). </w:t>
      </w:r>
      <w:r>
        <w:rPr>
          <w:rFonts w:cs="Arial"/>
          <w:i/>
          <w:iCs/>
          <w:sz w:val="20"/>
          <w:szCs w:val="20"/>
        </w:rPr>
        <w:t>Violencia social – violencia escolar. De la puesta de límites a la construcción de legalidades.</w:t>
      </w:r>
      <w:r>
        <w:rPr>
          <w:rFonts w:cs="Arial"/>
          <w:sz w:val="20"/>
          <w:szCs w:val="20"/>
        </w:rPr>
        <w:t xml:space="preserve"> </w:t>
      </w:r>
      <w:proofErr w:type="spellStart"/>
      <w:r>
        <w:rPr>
          <w:rFonts w:cs="Arial"/>
          <w:sz w:val="20"/>
          <w:szCs w:val="20"/>
        </w:rPr>
        <w:t>Noveduc</w:t>
      </w:r>
      <w:proofErr w:type="spellEnd"/>
      <w:r>
        <w:rPr>
          <w:rFonts w:cs="Arial"/>
          <w:sz w:val="20"/>
          <w:szCs w:val="20"/>
        </w:rPr>
        <w:t>. Pp. 141-160.</w:t>
      </w:r>
    </w:p>
    <w:p w14:paraId="609BD300" w14:textId="77777777" w:rsidR="00011637" w:rsidRDefault="00000000">
      <w:pPr>
        <w:pStyle w:val="LO-normal"/>
        <w:ind w:left="-720" w:right="-900"/>
        <w:jc w:val="both"/>
      </w:pPr>
      <w:r>
        <w:rPr>
          <w:rFonts w:cs="Arial"/>
          <w:sz w:val="20"/>
          <w:szCs w:val="20"/>
        </w:rPr>
        <w:t xml:space="preserve">- Corea, C. (2013). El desfondamiento de las instituciones educativas. Subjetividad pedagógica, subjetividad mediática, subjetividad informacional. En C. Corea y I. Lewkowicz (eds.), </w:t>
      </w:r>
      <w:r>
        <w:rPr>
          <w:rFonts w:cs="Arial"/>
          <w:i/>
          <w:iCs/>
          <w:sz w:val="20"/>
          <w:szCs w:val="20"/>
        </w:rPr>
        <w:t xml:space="preserve">Pedagogía del aburrido </w:t>
      </w:r>
      <w:r>
        <w:rPr>
          <w:rFonts w:cs="Arial"/>
          <w:sz w:val="20"/>
          <w:szCs w:val="20"/>
        </w:rPr>
        <w:t>(pp. 165-174). Paidós.</w:t>
      </w:r>
    </w:p>
    <w:p w14:paraId="54FA9418" w14:textId="77777777" w:rsidR="00011637" w:rsidRDefault="00000000">
      <w:pPr>
        <w:pStyle w:val="LO-normal"/>
        <w:ind w:left="-720" w:right="-900"/>
        <w:jc w:val="both"/>
      </w:pPr>
      <w:r>
        <w:rPr>
          <w:rFonts w:cs="Arial"/>
          <w:sz w:val="20"/>
          <w:szCs w:val="20"/>
        </w:rPr>
        <w:t xml:space="preserve">-  Corea, C. (2013). Los Chicos-usuarios en la era de la información. En C. Corea e I. Lewkowicz (eds.), </w:t>
      </w:r>
      <w:r>
        <w:rPr>
          <w:rFonts w:cs="Arial"/>
          <w:i/>
          <w:iCs/>
          <w:sz w:val="20"/>
          <w:szCs w:val="20"/>
        </w:rPr>
        <w:t xml:space="preserve">Pedagogía del aburrido </w:t>
      </w:r>
      <w:r>
        <w:rPr>
          <w:rFonts w:cs="Arial"/>
          <w:sz w:val="20"/>
          <w:szCs w:val="20"/>
        </w:rPr>
        <w:t>(pp. 175-184). Paidós.</w:t>
      </w:r>
    </w:p>
    <w:p w14:paraId="2C10488B" w14:textId="77777777" w:rsidR="00011637" w:rsidRDefault="00000000">
      <w:pPr>
        <w:pStyle w:val="LO-normal"/>
        <w:ind w:left="-720" w:right="-900"/>
        <w:jc w:val="both"/>
      </w:pPr>
      <w:r>
        <w:rPr>
          <w:rFonts w:cs="Arial"/>
          <w:sz w:val="20"/>
          <w:szCs w:val="20"/>
        </w:rPr>
        <w:t xml:space="preserve">- Douglas, M. (1996). </w:t>
      </w:r>
      <w:r>
        <w:rPr>
          <w:rFonts w:cs="Arial"/>
          <w:i/>
          <w:iCs/>
          <w:sz w:val="20"/>
          <w:szCs w:val="20"/>
        </w:rPr>
        <w:t xml:space="preserve">Cómo piensan las instituciones. </w:t>
      </w:r>
      <w:r>
        <w:rPr>
          <w:rFonts w:cs="Arial"/>
          <w:sz w:val="20"/>
          <w:szCs w:val="20"/>
        </w:rPr>
        <w:t>Alianza universidad. Introducción y cap. 1.</w:t>
      </w:r>
    </w:p>
    <w:p w14:paraId="07BBBE96" w14:textId="77777777" w:rsidR="00011637" w:rsidRDefault="00000000">
      <w:pPr>
        <w:pStyle w:val="LO-normal"/>
        <w:ind w:left="-720" w:right="-900"/>
        <w:jc w:val="both"/>
      </w:pPr>
      <w:r>
        <w:rPr>
          <w:rFonts w:cs="Arial"/>
          <w:sz w:val="20"/>
          <w:szCs w:val="20"/>
        </w:rPr>
        <w:t xml:space="preserve">- Gvirtz, S. et al. (2016). </w:t>
      </w:r>
      <w:r>
        <w:rPr>
          <w:rFonts w:cs="Arial"/>
          <w:i/>
          <w:iCs/>
          <w:sz w:val="20"/>
          <w:szCs w:val="20"/>
        </w:rPr>
        <w:t>Decálogo para la mejora escolar</w:t>
      </w:r>
      <w:r>
        <w:rPr>
          <w:rFonts w:cs="Arial"/>
          <w:sz w:val="20"/>
          <w:szCs w:val="20"/>
        </w:rPr>
        <w:t xml:space="preserve">. Ediciones </w:t>
      </w:r>
      <w:proofErr w:type="spellStart"/>
      <w:r>
        <w:rPr>
          <w:rFonts w:cs="Arial"/>
          <w:sz w:val="20"/>
          <w:szCs w:val="20"/>
        </w:rPr>
        <w:t>Gránica</w:t>
      </w:r>
      <w:proofErr w:type="spellEnd"/>
      <w:r>
        <w:rPr>
          <w:rFonts w:cs="Arial"/>
          <w:sz w:val="20"/>
          <w:szCs w:val="20"/>
        </w:rPr>
        <w:t xml:space="preserve">. </w:t>
      </w:r>
      <w:proofErr w:type="spellStart"/>
      <w:r>
        <w:rPr>
          <w:rFonts w:cs="Arial"/>
          <w:sz w:val="20"/>
          <w:szCs w:val="20"/>
        </w:rPr>
        <w:t>Introdución</w:t>
      </w:r>
      <w:proofErr w:type="spellEnd"/>
      <w:r>
        <w:rPr>
          <w:rFonts w:cs="Arial"/>
          <w:sz w:val="20"/>
          <w:szCs w:val="20"/>
        </w:rPr>
        <w:t xml:space="preserve"> y cap. 1.</w:t>
      </w:r>
    </w:p>
    <w:p w14:paraId="488B3BE9" w14:textId="77777777" w:rsidR="00011637" w:rsidRDefault="00000000">
      <w:pPr>
        <w:pStyle w:val="LO-normal"/>
        <w:ind w:left="-720" w:right="-900"/>
        <w:jc w:val="both"/>
      </w:pPr>
      <w:r>
        <w:rPr>
          <w:rFonts w:cs="Arial"/>
          <w:sz w:val="20"/>
          <w:szCs w:val="20"/>
        </w:rPr>
        <w:t xml:space="preserve">- </w:t>
      </w:r>
      <w:proofErr w:type="spellStart"/>
      <w:r>
        <w:rPr>
          <w:rFonts w:cs="Arial"/>
          <w:sz w:val="20"/>
          <w:szCs w:val="20"/>
        </w:rPr>
        <w:t>Malfé</w:t>
      </w:r>
      <w:proofErr w:type="spellEnd"/>
      <w:r>
        <w:rPr>
          <w:rFonts w:cs="Arial"/>
          <w:sz w:val="20"/>
          <w:szCs w:val="20"/>
        </w:rPr>
        <w:t xml:space="preserve">, R. (1990). </w:t>
      </w:r>
      <w:r>
        <w:rPr>
          <w:rFonts w:cs="Arial"/>
          <w:i/>
          <w:iCs/>
          <w:sz w:val="20"/>
          <w:szCs w:val="20"/>
        </w:rPr>
        <w:t>Malestar y sufrimiento de las instituciones y organizaciones</w:t>
      </w:r>
      <w:r>
        <w:rPr>
          <w:rFonts w:cs="Arial"/>
          <w:sz w:val="20"/>
          <w:szCs w:val="20"/>
        </w:rPr>
        <w:t xml:space="preserve">. Universidad de Buenos aires. Facultad de Ciencias sociales. </w:t>
      </w:r>
      <w:proofErr w:type="spellStart"/>
      <w:r>
        <w:rPr>
          <w:rFonts w:cs="Arial"/>
          <w:sz w:val="20"/>
          <w:szCs w:val="20"/>
        </w:rPr>
        <w:t>Desgrabado</w:t>
      </w:r>
      <w:proofErr w:type="spellEnd"/>
      <w:r>
        <w:rPr>
          <w:rFonts w:cs="Arial"/>
          <w:sz w:val="20"/>
          <w:szCs w:val="20"/>
        </w:rPr>
        <w:t xml:space="preserve"> para la cátedra del </w:t>
      </w:r>
      <w:proofErr w:type="spellStart"/>
      <w:r>
        <w:rPr>
          <w:rFonts w:cs="Arial"/>
          <w:sz w:val="20"/>
          <w:szCs w:val="20"/>
        </w:rPr>
        <w:t>prof.</w:t>
      </w:r>
      <w:proofErr w:type="spellEnd"/>
      <w:r>
        <w:rPr>
          <w:rFonts w:cs="Arial"/>
          <w:sz w:val="20"/>
          <w:szCs w:val="20"/>
        </w:rPr>
        <w:t xml:space="preserve"> </w:t>
      </w:r>
      <w:proofErr w:type="spellStart"/>
      <w:r>
        <w:rPr>
          <w:rFonts w:cs="Arial"/>
          <w:sz w:val="20"/>
          <w:szCs w:val="20"/>
        </w:rPr>
        <w:t>Ferrarós</w:t>
      </w:r>
      <w:proofErr w:type="spellEnd"/>
      <w:r>
        <w:rPr>
          <w:rFonts w:cs="Arial"/>
          <w:sz w:val="20"/>
          <w:szCs w:val="20"/>
        </w:rPr>
        <w:t>.</w:t>
      </w:r>
    </w:p>
    <w:p w14:paraId="2086350F" w14:textId="77777777" w:rsidR="00011637" w:rsidRDefault="00011637">
      <w:pPr>
        <w:pStyle w:val="LO-normal"/>
        <w:ind w:left="-720" w:right="-900"/>
        <w:jc w:val="both"/>
        <w:rPr>
          <w:rFonts w:cs="Arial"/>
          <w:sz w:val="20"/>
          <w:szCs w:val="20"/>
        </w:rPr>
      </w:pPr>
    </w:p>
    <w:p w14:paraId="57AE4B00" w14:textId="77777777" w:rsidR="00011637" w:rsidRDefault="00000000">
      <w:pPr>
        <w:pStyle w:val="LO-normal"/>
        <w:ind w:left="-720" w:right="-900"/>
        <w:jc w:val="both"/>
      </w:pPr>
      <w:r>
        <w:rPr>
          <w:rFonts w:cs="Arial"/>
          <w:sz w:val="20"/>
          <w:szCs w:val="20"/>
        </w:rPr>
        <w:lastRenderedPageBreak/>
        <w:t>BIBLIOGRAFIA DEL DOCENTE</w:t>
      </w:r>
    </w:p>
    <w:p w14:paraId="548034F0" w14:textId="77777777" w:rsidR="00011637" w:rsidRDefault="00011637">
      <w:pPr>
        <w:pStyle w:val="LO-normal"/>
        <w:ind w:left="-720" w:right="-900"/>
        <w:jc w:val="both"/>
        <w:rPr>
          <w:rFonts w:cs="Arial"/>
          <w:sz w:val="20"/>
          <w:szCs w:val="20"/>
        </w:rPr>
      </w:pPr>
    </w:p>
    <w:p w14:paraId="557BB147" w14:textId="77777777" w:rsidR="00011637" w:rsidRDefault="00000000">
      <w:pPr>
        <w:pStyle w:val="LO-normal"/>
        <w:ind w:left="-720" w:right="-900"/>
        <w:jc w:val="both"/>
      </w:pPr>
      <w:r>
        <w:rPr>
          <w:rFonts w:cs="Arial"/>
          <w:sz w:val="20"/>
          <w:szCs w:val="20"/>
        </w:rPr>
        <w:t xml:space="preserve">- </w:t>
      </w:r>
      <w:proofErr w:type="spellStart"/>
      <w:r>
        <w:rPr>
          <w:rFonts w:cs="Arial"/>
          <w:sz w:val="20"/>
          <w:szCs w:val="20"/>
        </w:rPr>
        <w:t>Blejmar</w:t>
      </w:r>
      <w:proofErr w:type="spellEnd"/>
      <w:r>
        <w:rPr>
          <w:rFonts w:cs="Arial"/>
          <w:sz w:val="20"/>
          <w:szCs w:val="20"/>
        </w:rPr>
        <w:t xml:space="preserve">, B. (2020). </w:t>
      </w:r>
      <w:r>
        <w:rPr>
          <w:rFonts w:cs="Arial"/>
          <w:i/>
          <w:iCs/>
          <w:sz w:val="20"/>
          <w:szCs w:val="20"/>
        </w:rPr>
        <w:t>Gestionar es hacer que las cosas sucedan. Competencias, actitudes y dispositivos para diseñar instituciones</w:t>
      </w:r>
      <w:r>
        <w:rPr>
          <w:rFonts w:cs="Arial"/>
          <w:sz w:val="20"/>
          <w:szCs w:val="20"/>
        </w:rPr>
        <w:t>. (2</w:t>
      </w:r>
      <w:r>
        <w:rPr>
          <w:rFonts w:cs="Arial"/>
          <w:sz w:val="20"/>
          <w:szCs w:val="20"/>
          <w:vertAlign w:val="superscript"/>
        </w:rPr>
        <w:t>a</w:t>
      </w:r>
      <w:r>
        <w:rPr>
          <w:rFonts w:cs="Arial"/>
          <w:sz w:val="20"/>
          <w:szCs w:val="20"/>
        </w:rPr>
        <w:t xml:space="preserve"> ed.). </w:t>
      </w:r>
      <w:proofErr w:type="spellStart"/>
      <w:r>
        <w:rPr>
          <w:rFonts w:cs="Arial"/>
          <w:sz w:val="20"/>
          <w:szCs w:val="20"/>
        </w:rPr>
        <w:t>Noveduc</w:t>
      </w:r>
      <w:proofErr w:type="spellEnd"/>
      <w:r>
        <w:rPr>
          <w:rFonts w:cs="Arial"/>
          <w:sz w:val="20"/>
          <w:szCs w:val="20"/>
        </w:rPr>
        <w:t>.</w:t>
      </w:r>
    </w:p>
    <w:p w14:paraId="054CE5AF" w14:textId="77777777" w:rsidR="00011637" w:rsidRDefault="00000000">
      <w:pPr>
        <w:pStyle w:val="LO-normal"/>
        <w:ind w:left="-720" w:right="-900"/>
        <w:jc w:val="both"/>
      </w:pPr>
      <w:r>
        <w:rPr>
          <w:rFonts w:cs="Arial"/>
          <w:sz w:val="20"/>
          <w:szCs w:val="20"/>
        </w:rPr>
        <w:t xml:space="preserve">- </w:t>
      </w:r>
      <w:proofErr w:type="spellStart"/>
      <w:r>
        <w:rPr>
          <w:rFonts w:cs="Arial"/>
          <w:sz w:val="20"/>
          <w:szCs w:val="20"/>
        </w:rPr>
        <w:t>Pichon-Riviére</w:t>
      </w:r>
      <w:proofErr w:type="spellEnd"/>
      <w:r>
        <w:rPr>
          <w:rFonts w:cs="Arial"/>
          <w:sz w:val="20"/>
          <w:szCs w:val="20"/>
        </w:rPr>
        <w:t xml:space="preserve">, E. (2007). </w:t>
      </w:r>
      <w:r>
        <w:rPr>
          <w:rFonts w:cs="Arial"/>
          <w:i/>
          <w:iCs/>
          <w:sz w:val="20"/>
          <w:szCs w:val="20"/>
        </w:rPr>
        <w:t>El proceso grupal. Del psicoanálisis a la psicología social (1)</w:t>
      </w:r>
      <w:r>
        <w:rPr>
          <w:rFonts w:cs="Arial"/>
          <w:sz w:val="20"/>
          <w:szCs w:val="20"/>
        </w:rPr>
        <w:t>. (2a</w:t>
      </w:r>
      <w:r>
        <w:rPr>
          <w:rFonts w:cs="Arial"/>
          <w:sz w:val="20"/>
          <w:szCs w:val="20"/>
          <w:vertAlign w:val="superscript"/>
        </w:rPr>
        <w:t xml:space="preserve"> </w:t>
      </w:r>
      <w:r>
        <w:rPr>
          <w:rFonts w:cs="Arial"/>
          <w:sz w:val="20"/>
          <w:szCs w:val="20"/>
        </w:rPr>
        <w:t>ed.). Nueva visión.</w:t>
      </w:r>
    </w:p>
    <w:p w14:paraId="72142BD6" w14:textId="77777777" w:rsidR="00011637" w:rsidRDefault="00000000">
      <w:pPr>
        <w:pStyle w:val="LO-normal"/>
        <w:ind w:left="-720" w:right="-900"/>
        <w:jc w:val="both"/>
      </w:pPr>
      <w:r>
        <w:rPr>
          <w:rFonts w:cs="Arial"/>
          <w:sz w:val="20"/>
          <w:szCs w:val="20"/>
        </w:rPr>
        <w:t xml:space="preserve">- </w:t>
      </w:r>
      <w:proofErr w:type="spellStart"/>
      <w:r>
        <w:rPr>
          <w:rFonts w:cs="Arial"/>
          <w:sz w:val="20"/>
          <w:szCs w:val="20"/>
        </w:rPr>
        <w:t>Pichon-Riviére</w:t>
      </w:r>
      <w:proofErr w:type="spellEnd"/>
      <w:r>
        <w:rPr>
          <w:rFonts w:cs="Arial"/>
          <w:sz w:val="20"/>
          <w:szCs w:val="20"/>
        </w:rPr>
        <w:t xml:space="preserve">, E y Pampliega de Quiroga, A. (1985). </w:t>
      </w:r>
      <w:r>
        <w:rPr>
          <w:rFonts w:cs="Arial"/>
          <w:i/>
          <w:iCs/>
          <w:sz w:val="20"/>
          <w:szCs w:val="20"/>
        </w:rPr>
        <w:t>Psicología de la vida cotidiana</w:t>
      </w:r>
      <w:r>
        <w:rPr>
          <w:rFonts w:cs="Arial"/>
          <w:sz w:val="20"/>
          <w:szCs w:val="20"/>
        </w:rPr>
        <w:t>. Nueva visión.</w:t>
      </w:r>
    </w:p>
    <w:p w14:paraId="0AE2929A" w14:textId="77777777" w:rsidR="00011637" w:rsidRDefault="00000000">
      <w:pPr>
        <w:pStyle w:val="LO-normal"/>
        <w:ind w:left="-720" w:right="-900"/>
        <w:jc w:val="both"/>
      </w:pPr>
      <w:r>
        <w:rPr>
          <w:rFonts w:cs="Arial"/>
          <w:sz w:val="20"/>
          <w:szCs w:val="20"/>
        </w:rPr>
        <w:t xml:space="preserve">- Quiroga, A. (1992). Enfoques y perspectivas en psicología social. Desarrollos a partir del pensamiento de Enrique </w:t>
      </w:r>
      <w:proofErr w:type="spellStart"/>
      <w:r>
        <w:rPr>
          <w:rFonts w:cs="Arial"/>
          <w:sz w:val="20"/>
          <w:szCs w:val="20"/>
        </w:rPr>
        <w:t>Pichon-Riviere</w:t>
      </w:r>
      <w:proofErr w:type="spellEnd"/>
      <w:r>
        <w:rPr>
          <w:rFonts w:cs="Arial"/>
          <w:sz w:val="20"/>
          <w:szCs w:val="20"/>
        </w:rPr>
        <w:t>. (4</w:t>
      </w:r>
      <w:r>
        <w:rPr>
          <w:rFonts w:cs="Arial"/>
          <w:sz w:val="20"/>
          <w:szCs w:val="20"/>
          <w:vertAlign w:val="superscript"/>
        </w:rPr>
        <w:t>a</w:t>
      </w:r>
      <w:r>
        <w:rPr>
          <w:rFonts w:cs="Arial"/>
          <w:sz w:val="20"/>
          <w:szCs w:val="20"/>
        </w:rPr>
        <w:t xml:space="preserve"> ed.). Ediciones Cinco.</w:t>
      </w:r>
    </w:p>
    <w:p w14:paraId="311EDA1D" w14:textId="77777777" w:rsidR="00011637" w:rsidRDefault="00000000">
      <w:pPr>
        <w:pStyle w:val="LO-normal"/>
        <w:ind w:left="-720" w:right="-900"/>
        <w:jc w:val="both"/>
      </w:pPr>
      <w:r>
        <w:rPr>
          <w:rFonts w:cs="Arial"/>
          <w:sz w:val="20"/>
          <w:szCs w:val="20"/>
        </w:rPr>
        <w:t xml:space="preserve">- Tamarit, J. et al. (2002). </w:t>
      </w:r>
      <w:r>
        <w:rPr>
          <w:rFonts w:cs="Arial"/>
          <w:i/>
          <w:iCs/>
          <w:sz w:val="20"/>
          <w:szCs w:val="20"/>
        </w:rPr>
        <w:t>El sentido común del maestro</w:t>
      </w:r>
      <w:r>
        <w:rPr>
          <w:rFonts w:cs="Arial"/>
          <w:sz w:val="20"/>
          <w:szCs w:val="20"/>
        </w:rPr>
        <w:t>. Miño y Dávila.</w:t>
      </w:r>
    </w:p>
    <w:p w14:paraId="07A25EE8" w14:textId="77777777" w:rsidR="00011637" w:rsidRDefault="00011637">
      <w:pPr>
        <w:pStyle w:val="LO-normal"/>
        <w:ind w:left="-720" w:right="-900"/>
        <w:jc w:val="both"/>
        <w:rPr>
          <w:sz w:val="20"/>
          <w:szCs w:val="20"/>
        </w:rPr>
      </w:pPr>
    </w:p>
    <w:p w14:paraId="7B1FB1FC" w14:textId="77777777" w:rsidR="00011637" w:rsidRDefault="00000000">
      <w:pPr>
        <w:pStyle w:val="LO-normal"/>
        <w:ind w:left="-720" w:right="-900"/>
        <w:jc w:val="both"/>
        <w:rPr>
          <w:sz w:val="20"/>
          <w:szCs w:val="20"/>
        </w:rPr>
      </w:pPr>
      <w:r>
        <w:rPr>
          <w:sz w:val="20"/>
          <w:szCs w:val="20"/>
        </w:rPr>
        <w:t>CRITERIOS E INSTRUMENTOS DE EVALUACIÓN</w:t>
      </w:r>
    </w:p>
    <w:p w14:paraId="09FC0A3C" w14:textId="77777777" w:rsidR="00011637" w:rsidRDefault="00011637">
      <w:pPr>
        <w:pStyle w:val="LO-normal"/>
        <w:ind w:left="-720" w:right="-900"/>
        <w:jc w:val="both"/>
        <w:rPr>
          <w:sz w:val="20"/>
          <w:szCs w:val="20"/>
        </w:rPr>
      </w:pPr>
    </w:p>
    <w:p w14:paraId="252152AD" w14:textId="77777777" w:rsidR="00011637" w:rsidRDefault="00000000">
      <w:pPr>
        <w:pStyle w:val="LO-normal"/>
        <w:ind w:left="-720" w:right="-900"/>
        <w:jc w:val="both"/>
      </w:pPr>
      <w:r>
        <w:rPr>
          <w:sz w:val="20"/>
          <w:szCs w:val="20"/>
        </w:rPr>
        <w:t xml:space="preserve">La evaluación como práctica político-pedagógica es una herramienta fundamental para dar cuenta del aprendizaje. Solemos considerar que este es un correlato natural de la enseñanza. No obstante, empíricamente verificamos de manera constante que este puede no ser el caso. Camilloni </w:t>
      </w:r>
      <w:r>
        <w:rPr>
          <w:i/>
          <w:iCs/>
          <w:sz w:val="20"/>
          <w:szCs w:val="20"/>
        </w:rPr>
        <w:t>et al</w:t>
      </w:r>
      <w:r>
        <w:rPr>
          <w:sz w:val="20"/>
          <w:szCs w:val="20"/>
        </w:rPr>
        <w:t xml:space="preserve"> (1998) nos comenta que es muy frecuente que a la hora de evaluar aparezcan cuestiones enteramente subjetivas y opacas que son el resultado de juicios de valor por parte del docente que permiten no conocer de manera transparente el proceso de evaluación. Es nuestro objetivo intentar acortar esta brecha -con la plena conciencia de que eliminar el enfoque enteramente subjetivo es imposible. Es a partir de esta idea que consideramos a la evaluación como la herramienta por excelencia de la verificación de los aprendizajes. No solo desde el punto de vista normativo sino desde el punto de vista epistemológico. El proceso de producción de una novedad en el estudiante, que muchas veces parece un proceso metafísico y hasta mágico, es algo que ya está implícito en nuestra tarea docente cotidiana.</w:t>
      </w:r>
    </w:p>
    <w:p w14:paraId="0A6D7724" w14:textId="77777777" w:rsidR="00011637" w:rsidRDefault="00000000">
      <w:pPr>
        <w:pStyle w:val="LO-normal"/>
        <w:ind w:left="-720" w:right="-900"/>
        <w:jc w:val="both"/>
        <w:rPr>
          <w:sz w:val="20"/>
          <w:szCs w:val="20"/>
        </w:rPr>
      </w:pPr>
      <w:r>
        <w:rPr>
          <w:sz w:val="20"/>
          <w:szCs w:val="20"/>
        </w:rPr>
        <w:t>A su vez coincidimos con Fenstermacher (1989) que la enseñanza no es la contrapartida del aprendizaje sino la provisión de herramientas que llevan a la consecución de este último.</w:t>
      </w:r>
    </w:p>
    <w:p w14:paraId="24804DB6" w14:textId="77777777" w:rsidR="00011637" w:rsidRDefault="00000000">
      <w:pPr>
        <w:pStyle w:val="LO-normal"/>
        <w:ind w:left="-720" w:right="-900"/>
        <w:jc w:val="both"/>
      </w:pPr>
      <w:r>
        <w:rPr>
          <w:sz w:val="20"/>
          <w:szCs w:val="20"/>
        </w:rPr>
        <w:t>Coincidimos con los criterios del plan de evaluación institucional dentro del proyecto educativo institucional (2023) cuando menciona que, “En el proceso de Evaluación se ponen en juego, diversas variables: las matrices de formación de los docentes, los paradigmas disciplinares, las culturas institucionales, la mirada sobre los sujetos en formación, las concepciones sobre aprendizaje y enseñanza, las consideraciones didácticas, los posicionamientos sobre las prácticas de lectura, escritura y oralidad en el nivel, las condiciones curriculares. (p. 11)</w:t>
      </w:r>
      <w:r>
        <w:rPr>
          <w:rStyle w:val="Refdenotaalpie"/>
          <w:sz w:val="20"/>
          <w:szCs w:val="20"/>
        </w:rPr>
        <w:footnoteReference w:id="1"/>
      </w:r>
      <w:r>
        <w:rPr>
          <w:sz w:val="20"/>
          <w:szCs w:val="20"/>
        </w:rPr>
        <w:t>”.</w:t>
      </w:r>
    </w:p>
    <w:p w14:paraId="69320A58" w14:textId="77777777" w:rsidR="00011637" w:rsidRDefault="00000000">
      <w:pPr>
        <w:pStyle w:val="LO-normal"/>
        <w:ind w:left="-720" w:right="-900"/>
        <w:jc w:val="both"/>
        <w:rPr>
          <w:sz w:val="20"/>
          <w:szCs w:val="20"/>
        </w:rPr>
      </w:pPr>
      <w:r>
        <w:rPr>
          <w:sz w:val="20"/>
          <w:szCs w:val="20"/>
        </w:rPr>
        <w:t>Los instrumentos de evaluación elegidos por esta cátedra serán:</w:t>
      </w:r>
    </w:p>
    <w:p w14:paraId="3FC3B9E5" w14:textId="77777777" w:rsidR="00011637" w:rsidRDefault="00000000">
      <w:pPr>
        <w:pStyle w:val="LO-normal"/>
        <w:ind w:left="-720" w:right="-900"/>
        <w:jc w:val="both"/>
        <w:rPr>
          <w:sz w:val="20"/>
          <w:szCs w:val="20"/>
        </w:rPr>
      </w:pPr>
      <w:r>
        <w:rPr>
          <w:sz w:val="20"/>
          <w:szCs w:val="20"/>
        </w:rPr>
        <w:t>- Observación: esta es fundamental para intentar aproximarse a la evaluación diagnóstica, de seguimiento y sumativa. En los tres momentos, la observación cumple un papel fundamental.</w:t>
      </w:r>
    </w:p>
    <w:p w14:paraId="52BF5D8F" w14:textId="77777777" w:rsidR="00011637" w:rsidRDefault="00000000">
      <w:pPr>
        <w:pStyle w:val="LO-normal"/>
        <w:ind w:left="-720" w:right="-900"/>
        <w:jc w:val="both"/>
        <w:rPr>
          <w:sz w:val="20"/>
          <w:szCs w:val="20"/>
        </w:rPr>
      </w:pPr>
      <w:r>
        <w:rPr>
          <w:sz w:val="20"/>
          <w:szCs w:val="20"/>
        </w:rPr>
        <w:t>- El examen parcial individual presencial. En este intentamos que recuperen conceptos técnicos desde el punto de vista de la memoria pero que esto sea conceptualmente trabajado en un proceso reflexivo acerca de una problemática puntual. En este caso, una pregunta paradigmática de uno de estos instrumentos puede ser: “Pensando en la noción de institución trabajado por Lidia Fernández, ¿considera que tiene lugar actualmente? Justifique.” En este tipo de instancias se apela al componente memorístico y al expositivo-reflexivo. Tiempo estimado de resolución: 2 horas reloj.</w:t>
      </w:r>
    </w:p>
    <w:p w14:paraId="127508D9" w14:textId="77777777" w:rsidR="00011637" w:rsidRDefault="00000000">
      <w:pPr>
        <w:pStyle w:val="LO-normal"/>
        <w:ind w:left="-720" w:right="-900"/>
        <w:jc w:val="both"/>
      </w:pPr>
      <w:r>
        <w:rPr>
          <w:sz w:val="20"/>
          <w:szCs w:val="20"/>
        </w:rPr>
        <w:t xml:space="preserve">- Examen domiciliario grupal o individual. En este caso, el peso de la evaluación no está en la memoria sino en la capacidad reflexiva acerca de un tema puntual. En este caso, lo que se intenta es que puedan articular una compleja respuesta de relación teórica entre distintos puntos de vista. Lo que se propone en este tipo de ejercicios es una </w:t>
      </w:r>
      <w:r>
        <w:rPr>
          <w:i/>
          <w:iCs/>
          <w:sz w:val="20"/>
          <w:szCs w:val="20"/>
        </w:rPr>
        <w:t>toma de posición</w:t>
      </w:r>
      <w:r>
        <w:rPr>
          <w:sz w:val="20"/>
          <w:szCs w:val="20"/>
        </w:rPr>
        <w:t xml:space="preserve">, independientemente del contenido </w:t>
      </w:r>
      <w:proofErr w:type="spellStart"/>
      <w:r>
        <w:rPr>
          <w:sz w:val="20"/>
          <w:szCs w:val="20"/>
        </w:rPr>
        <w:t>veritativo</w:t>
      </w:r>
      <w:proofErr w:type="spellEnd"/>
      <w:r>
        <w:rPr>
          <w:sz w:val="20"/>
          <w:szCs w:val="20"/>
        </w:rPr>
        <w:t xml:space="preserve"> o falso de lo que se dice. Es decir, partiendo de la base de que cualquier posición puede ser refutada, lo que la cátedra enfatizará no será la corrección en cuanto a si se corresponde o  no con criterios docentes o de los autores. </w:t>
      </w:r>
      <w:proofErr w:type="gramStart"/>
      <w:r>
        <w:rPr>
          <w:sz w:val="20"/>
          <w:szCs w:val="20"/>
        </w:rPr>
        <w:t>Sino</w:t>
      </w:r>
      <w:proofErr w:type="gramEnd"/>
      <w:r>
        <w:rPr>
          <w:sz w:val="20"/>
          <w:szCs w:val="20"/>
        </w:rPr>
        <w:t>, se intentará fomentar el pensamiento crítico desde una postura enteramente personal. Lo que se evaluará en todo caso e</w:t>
      </w:r>
      <w:r>
        <w:rPr>
          <w:color w:val="000000"/>
          <w:sz w:val="20"/>
          <w:szCs w:val="20"/>
        </w:rPr>
        <w:t>s la consistencia de las ideas y no tanto la validez en torno a una teoría u otra.</w:t>
      </w:r>
    </w:p>
    <w:p w14:paraId="2EE134C4" w14:textId="77777777" w:rsidR="00011637" w:rsidRDefault="00000000">
      <w:pPr>
        <w:pStyle w:val="LO-normal"/>
        <w:ind w:left="-720" w:right="-900"/>
        <w:jc w:val="both"/>
        <w:rPr>
          <w:color w:val="000000"/>
          <w:sz w:val="20"/>
          <w:szCs w:val="20"/>
        </w:rPr>
      </w:pPr>
      <w:r>
        <w:rPr>
          <w:color w:val="000000"/>
          <w:sz w:val="20"/>
          <w:szCs w:val="20"/>
        </w:rPr>
        <w:t>- Examen final oral: en este caso y como momento sumativo final de la materia, se prevé la conceptualización de ideas centrales a lo largo del curso. Naturalmente en esta etapa debe haber un componente memorístico pero que solo actúa como guía para el desarrollo de las ideas. Estas deben estar expresadas claramente en consonancia con lo trabajado a lo largo del curso.</w:t>
      </w:r>
    </w:p>
    <w:p w14:paraId="10B20511" w14:textId="77777777" w:rsidR="00011637" w:rsidRDefault="00000000">
      <w:pPr>
        <w:pStyle w:val="LO-normal"/>
        <w:ind w:left="-720" w:right="-900"/>
        <w:jc w:val="both"/>
        <w:rPr>
          <w:color w:val="000000"/>
          <w:sz w:val="20"/>
          <w:szCs w:val="20"/>
        </w:rPr>
      </w:pPr>
      <w:r>
        <w:rPr>
          <w:color w:val="000000"/>
          <w:sz w:val="20"/>
          <w:szCs w:val="20"/>
        </w:rPr>
        <w:t xml:space="preserve">Dicho lo anterior, </w:t>
      </w:r>
      <w:proofErr w:type="gramStart"/>
      <w:r>
        <w:rPr>
          <w:color w:val="000000"/>
          <w:sz w:val="20"/>
          <w:szCs w:val="20"/>
        </w:rPr>
        <w:t>los criterio</w:t>
      </w:r>
      <w:proofErr w:type="gramEnd"/>
      <w:r>
        <w:rPr>
          <w:color w:val="000000"/>
          <w:sz w:val="20"/>
          <w:szCs w:val="20"/>
        </w:rPr>
        <w:t xml:space="preserve"> de evaluación elegidos, serán:</w:t>
      </w:r>
    </w:p>
    <w:p w14:paraId="18792A0E" w14:textId="77777777" w:rsidR="00011637" w:rsidRDefault="00000000">
      <w:pPr>
        <w:pStyle w:val="LO-normal"/>
        <w:ind w:left="-720" w:right="-900"/>
        <w:jc w:val="both"/>
        <w:rPr>
          <w:color w:val="000000"/>
          <w:sz w:val="20"/>
          <w:szCs w:val="20"/>
        </w:rPr>
      </w:pPr>
      <w:r>
        <w:rPr>
          <w:color w:val="000000"/>
          <w:sz w:val="20"/>
          <w:szCs w:val="20"/>
        </w:rPr>
        <w:t>- Precisión: Se refiere a la capacidad del evaluado para dar respuestas precisas y exactas a las preguntas o tareas planteadas.</w:t>
      </w:r>
    </w:p>
    <w:p w14:paraId="7B4F1C7F" w14:textId="77777777" w:rsidR="00011637" w:rsidRDefault="00000000">
      <w:pPr>
        <w:pStyle w:val="LO-normal"/>
        <w:ind w:left="-720" w:right="-900"/>
        <w:jc w:val="both"/>
        <w:rPr>
          <w:color w:val="000000"/>
          <w:sz w:val="20"/>
          <w:szCs w:val="20"/>
        </w:rPr>
      </w:pPr>
      <w:r>
        <w:rPr>
          <w:color w:val="000000"/>
          <w:sz w:val="20"/>
          <w:szCs w:val="20"/>
        </w:rPr>
        <w:t>- Profundidad: Se refiere a la capacidad del evaluado para mostrar un conocimiento profundo y detallado del tema evaluado.</w:t>
      </w:r>
    </w:p>
    <w:p w14:paraId="250523EF" w14:textId="77777777" w:rsidR="00011637" w:rsidRDefault="00000000">
      <w:pPr>
        <w:pStyle w:val="LO-normal"/>
        <w:ind w:left="-720" w:right="-900"/>
        <w:jc w:val="both"/>
        <w:rPr>
          <w:color w:val="000000"/>
          <w:sz w:val="20"/>
          <w:szCs w:val="20"/>
        </w:rPr>
      </w:pPr>
      <w:r>
        <w:rPr>
          <w:color w:val="000000"/>
          <w:sz w:val="20"/>
          <w:szCs w:val="20"/>
        </w:rPr>
        <w:t>- Consistencia: Se refiere a la capacidad del evaluado para presentar información de manera coherente y lógica.</w:t>
      </w:r>
    </w:p>
    <w:p w14:paraId="51403B99" w14:textId="77777777" w:rsidR="00011637" w:rsidRDefault="00000000">
      <w:pPr>
        <w:pStyle w:val="LO-normal"/>
        <w:ind w:left="-720" w:right="-900"/>
        <w:jc w:val="both"/>
        <w:rPr>
          <w:color w:val="000000"/>
          <w:sz w:val="20"/>
          <w:szCs w:val="20"/>
        </w:rPr>
      </w:pPr>
      <w:r>
        <w:rPr>
          <w:color w:val="000000"/>
          <w:sz w:val="20"/>
          <w:szCs w:val="20"/>
        </w:rPr>
        <w:t>- Creatividad: Se refiere a la capacidad del evaluado para generar nuevas ideas o soluciones creativas a problemas o situaciones.</w:t>
      </w:r>
    </w:p>
    <w:p w14:paraId="283B4A21" w14:textId="77777777" w:rsidR="00011637" w:rsidRDefault="00000000">
      <w:pPr>
        <w:pStyle w:val="LO-normal"/>
        <w:ind w:left="-720" w:right="-900"/>
        <w:jc w:val="both"/>
        <w:rPr>
          <w:color w:val="000000"/>
          <w:sz w:val="20"/>
          <w:szCs w:val="20"/>
        </w:rPr>
      </w:pPr>
      <w:r>
        <w:rPr>
          <w:color w:val="000000"/>
          <w:sz w:val="20"/>
          <w:szCs w:val="20"/>
        </w:rPr>
        <w:t>- Comunicación: Se refiere a la capacidad del evaluado para comunicar sus ideas o respuestas de manera clara y efectiva.</w:t>
      </w:r>
    </w:p>
    <w:p w14:paraId="05979CE6" w14:textId="77777777" w:rsidR="00011637" w:rsidRDefault="00000000">
      <w:pPr>
        <w:pStyle w:val="LO-normal"/>
        <w:ind w:left="-720" w:right="-900"/>
        <w:jc w:val="both"/>
        <w:rPr>
          <w:color w:val="000000"/>
          <w:sz w:val="20"/>
          <w:szCs w:val="20"/>
        </w:rPr>
      </w:pPr>
      <w:r>
        <w:rPr>
          <w:color w:val="000000"/>
          <w:sz w:val="20"/>
          <w:szCs w:val="20"/>
        </w:rPr>
        <w:t>- Colaboración: Se refiere a la capacidad del evaluado para trabajar en equipo y contribuir positivamente al trabajo en grupo.</w:t>
      </w:r>
    </w:p>
    <w:p w14:paraId="246ACCEB" w14:textId="77777777" w:rsidR="00011637" w:rsidRDefault="00000000">
      <w:pPr>
        <w:pStyle w:val="LO-normal"/>
        <w:ind w:left="-720" w:right="-900"/>
        <w:jc w:val="both"/>
        <w:rPr>
          <w:color w:val="000000"/>
          <w:sz w:val="20"/>
          <w:szCs w:val="20"/>
        </w:rPr>
      </w:pPr>
      <w:r>
        <w:rPr>
          <w:color w:val="000000"/>
          <w:sz w:val="20"/>
          <w:szCs w:val="20"/>
        </w:rPr>
        <w:lastRenderedPageBreak/>
        <w:t>- Autonomía: Se refiere a la capacidad del evaluado para trabajar de manera independiente y tomar decisiones adecuadas sin la supervisión constante de un superior.</w:t>
      </w:r>
    </w:p>
    <w:p w14:paraId="3044110A" w14:textId="77777777" w:rsidR="00011637" w:rsidRDefault="00000000">
      <w:pPr>
        <w:pStyle w:val="LO-normal"/>
        <w:ind w:left="-720" w:right="-900"/>
        <w:jc w:val="both"/>
        <w:rPr>
          <w:color w:val="000000"/>
          <w:sz w:val="20"/>
          <w:szCs w:val="20"/>
        </w:rPr>
      </w:pPr>
      <w:r>
        <w:rPr>
          <w:color w:val="000000"/>
          <w:sz w:val="20"/>
          <w:szCs w:val="20"/>
        </w:rPr>
        <w:t xml:space="preserve">A partir de aquí quedará claro para los estudiantes los procesos de autoevaluación y </w:t>
      </w:r>
      <w:proofErr w:type="spellStart"/>
      <w:r>
        <w:rPr>
          <w:color w:val="000000"/>
          <w:sz w:val="20"/>
          <w:szCs w:val="20"/>
        </w:rPr>
        <w:t>coevalución</w:t>
      </w:r>
      <w:proofErr w:type="spellEnd"/>
      <w:r>
        <w:rPr>
          <w:color w:val="000000"/>
          <w:sz w:val="20"/>
          <w:szCs w:val="20"/>
        </w:rPr>
        <w:t xml:space="preserve">. Para el momento de la metaevaluación, la cátedra propone un cuestionario al finalizar el curso en el cual, se pregunte a los estudiantes acerca el concepto de evaluación en </w:t>
      </w:r>
      <w:proofErr w:type="spellStart"/>
      <w:r>
        <w:rPr>
          <w:color w:val="000000"/>
          <w:sz w:val="20"/>
          <w:szCs w:val="20"/>
        </w:rPr>
        <w:t>si</w:t>
      </w:r>
      <w:proofErr w:type="spellEnd"/>
      <w:r>
        <w:rPr>
          <w:color w:val="000000"/>
          <w:sz w:val="20"/>
          <w:szCs w:val="20"/>
        </w:rPr>
        <w:t xml:space="preserve"> mismo y del desempeño del docente.</w:t>
      </w:r>
    </w:p>
    <w:p w14:paraId="3E4E72EA" w14:textId="77777777" w:rsidR="00011637" w:rsidRDefault="00000000">
      <w:pPr>
        <w:pStyle w:val="LO-normal"/>
        <w:ind w:left="-720" w:right="-900"/>
        <w:jc w:val="both"/>
        <w:rPr>
          <w:color w:val="000000"/>
          <w:sz w:val="20"/>
          <w:szCs w:val="20"/>
        </w:rPr>
      </w:pPr>
      <w:proofErr w:type="gramStart"/>
      <w:r>
        <w:rPr>
          <w:color w:val="000000"/>
          <w:sz w:val="20"/>
          <w:szCs w:val="20"/>
        </w:rPr>
        <w:t>Finalmente</w:t>
      </w:r>
      <w:proofErr w:type="gramEnd"/>
      <w:r>
        <w:rPr>
          <w:color w:val="000000"/>
          <w:sz w:val="20"/>
          <w:szCs w:val="20"/>
        </w:rPr>
        <w:t xml:space="preserve"> en torno a la devolución de resultados y estrategias de mejora en el desempeño, la cátedra propone el repaso cada dos o tres clases para identificar debilidades y fortalezas de los estudiantes. Buenas estrategias pueden ser, el análisis de los textos de manera conjunta escribiendo en el pizarrón los resultados de preguntas propuestas por el docente. Este parece ser un modo efectivo también de autoevaluación y de superación de obstáculos epistemológicos.</w:t>
      </w:r>
    </w:p>
    <w:p w14:paraId="629B6362" w14:textId="77777777" w:rsidR="00011637" w:rsidRDefault="00011637">
      <w:pPr>
        <w:pStyle w:val="LO-normal"/>
        <w:ind w:left="-720" w:right="-900"/>
        <w:jc w:val="both"/>
        <w:rPr>
          <w:color w:val="000000"/>
          <w:sz w:val="20"/>
          <w:szCs w:val="20"/>
        </w:rPr>
      </w:pPr>
    </w:p>
    <w:p w14:paraId="7E408169" w14:textId="77777777" w:rsidR="00011637" w:rsidRDefault="00000000">
      <w:pPr>
        <w:pStyle w:val="LO-normal"/>
        <w:ind w:left="-720" w:right="-900"/>
        <w:jc w:val="both"/>
        <w:rPr>
          <w:color w:val="000000"/>
          <w:sz w:val="20"/>
          <w:szCs w:val="20"/>
        </w:rPr>
      </w:pPr>
      <w:r>
        <w:rPr>
          <w:color w:val="000000"/>
          <w:sz w:val="20"/>
          <w:szCs w:val="20"/>
        </w:rPr>
        <w:t>En suma, para regularizar la materia:</w:t>
      </w:r>
    </w:p>
    <w:p w14:paraId="0BB19F0B" w14:textId="77777777" w:rsidR="00011637" w:rsidRDefault="00000000">
      <w:pPr>
        <w:pStyle w:val="LO-normal"/>
        <w:ind w:left="-720" w:right="-900"/>
        <w:jc w:val="both"/>
        <w:rPr>
          <w:color w:val="000000"/>
          <w:sz w:val="20"/>
          <w:szCs w:val="20"/>
        </w:rPr>
      </w:pPr>
      <w:r>
        <w:rPr>
          <w:color w:val="000000"/>
          <w:sz w:val="20"/>
          <w:szCs w:val="20"/>
        </w:rPr>
        <w:t>- Asistencia y puntualidad.</w:t>
      </w:r>
    </w:p>
    <w:p w14:paraId="382F3340" w14:textId="77777777" w:rsidR="00011637" w:rsidRDefault="00000000">
      <w:pPr>
        <w:pStyle w:val="LO-normal"/>
        <w:ind w:left="-720" w:right="-900"/>
        <w:jc w:val="both"/>
        <w:rPr>
          <w:color w:val="000000"/>
          <w:sz w:val="20"/>
          <w:szCs w:val="20"/>
        </w:rPr>
      </w:pPr>
      <w:r>
        <w:rPr>
          <w:color w:val="000000"/>
          <w:sz w:val="20"/>
          <w:szCs w:val="20"/>
        </w:rPr>
        <w:t xml:space="preserve">- </w:t>
      </w:r>
      <w:proofErr w:type="gramStart"/>
      <w:r>
        <w:rPr>
          <w:color w:val="000000"/>
          <w:sz w:val="20"/>
          <w:szCs w:val="20"/>
        </w:rPr>
        <w:t>Participación activa</w:t>
      </w:r>
      <w:proofErr w:type="gramEnd"/>
      <w:r>
        <w:rPr>
          <w:color w:val="000000"/>
          <w:sz w:val="20"/>
          <w:szCs w:val="20"/>
        </w:rPr>
        <w:t xml:space="preserve"> en clase.</w:t>
      </w:r>
    </w:p>
    <w:p w14:paraId="05CDF851" w14:textId="77777777" w:rsidR="00011637" w:rsidRDefault="00000000">
      <w:pPr>
        <w:pStyle w:val="LO-normal"/>
        <w:ind w:left="-720" w:right="-900"/>
        <w:jc w:val="both"/>
        <w:rPr>
          <w:color w:val="000000"/>
          <w:sz w:val="20"/>
          <w:szCs w:val="20"/>
        </w:rPr>
      </w:pPr>
      <w:r>
        <w:rPr>
          <w:color w:val="000000"/>
          <w:sz w:val="20"/>
          <w:szCs w:val="20"/>
        </w:rPr>
        <w:t>- Aprobación de todas las instancias de evaluación con una nota de promedio no inferior a 4 (cuatro) puntos.</w:t>
      </w:r>
    </w:p>
    <w:p w14:paraId="49BBFBA4" w14:textId="77777777" w:rsidR="00011637" w:rsidRDefault="00000000">
      <w:pPr>
        <w:pStyle w:val="LO-normal"/>
        <w:ind w:left="-720" w:right="-900"/>
        <w:jc w:val="both"/>
        <w:rPr>
          <w:color w:val="000000"/>
          <w:sz w:val="20"/>
          <w:szCs w:val="20"/>
        </w:rPr>
      </w:pPr>
      <w:r>
        <w:rPr>
          <w:color w:val="000000"/>
          <w:sz w:val="20"/>
          <w:szCs w:val="20"/>
        </w:rPr>
        <w:t>- Se ofrecerá una instancia de recuperación solo en el caso de ausencia justificada o en el caso de obtener una nota inferior a 4 (cuatro)..</w:t>
      </w:r>
    </w:p>
    <w:p w14:paraId="4BB18F9B" w14:textId="77777777" w:rsidR="00011637" w:rsidRDefault="00011637">
      <w:pPr>
        <w:pStyle w:val="LO-normal"/>
        <w:ind w:left="-720" w:right="-900"/>
        <w:jc w:val="both"/>
        <w:rPr>
          <w:color w:val="000000"/>
          <w:sz w:val="20"/>
          <w:szCs w:val="20"/>
        </w:rPr>
      </w:pPr>
    </w:p>
    <w:p w14:paraId="75DEFCA8" w14:textId="77777777" w:rsidR="00011637" w:rsidRDefault="00000000">
      <w:pPr>
        <w:pStyle w:val="LO-normal"/>
        <w:ind w:left="-720" w:right="-900"/>
        <w:jc w:val="both"/>
        <w:rPr>
          <w:color w:val="000000"/>
          <w:sz w:val="20"/>
          <w:szCs w:val="20"/>
        </w:rPr>
      </w:pPr>
      <w:r>
        <w:rPr>
          <w:color w:val="000000"/>
          <w:sz w:val="20"/>
          <w:szCs w:val="20"/>
        </w:rPr>
        <w:t>Para acreditar:</w:t>
      </w:r>
    </w:p>
    <w:p w14:paraId="068FA096" w14:textId="77777777" w:rsidR="00011637" w:rsidRDefault="00000000">
      <w:pPr>
        <w:pStyle w:val="LO-normal"/>
        <w:ind w:left="-720" w:right="-900"/>
        <w:jc w:val="both"/>
        <w:rPr>
          <w:color w:val="000000"/>
          <w:sz w:val="20"/>
          <w:szCs w:val="20"/>
        </w:rPr>
      </w:pPr>
      <w:r>
        <w:rPr>
          <w:color w:val="000000"/>
          <w:sz w:val="20"/>
          <w:szCs w:val="20"/>
        </w:rPr>
        <w:t>- Si el promedio resultó igual o superior a 4, deben rendir un examen final oral. Si obtienen una calificación igual o superior a 4, tendrán el espacio formalmente acreditado.</w:t>
      </w:r>
    </w:p>
    <w:p w14:paraId="4F104F2B" w14:textId="77777777" w:rsidR="00011637" w:rsidRDefault="00011637">
      <w:pPr>
        <w:pStyle w:val="LO-normal"/>
        <w:jc w:val="both"/>
        <w:rPr>
          <w:sz w:val="20"/>
          <w:szCs w:val="20"/>
        </w:rPr>
      </w:pPr>
    </w:p>
    <w:p w14:paraId="3FB9F2B2" w14:textId="77777777" w:rsidR="00011637" w:rsidRDefault="00000000">
      <w:pPr>
        <w:pStyle w:val="LO-normal"/>
        <w:ind w:left="-720"/>
        <w:jc w:val="both"/>
        <w:rPr>
          <w:sz w:val="20"/>
          <w:szCs w:val="20"/>
        </w:rPr>
      </w:pPr>
      <w:r>
        <w:rPr>
          <w:sz w:val="20"/>
          <w:szCs w:val="20"/>
        </w:rPr>
        <w:t>BIBLIOGRAFÍA CONSULTADA</w:t>
      </w:r>
    </w:p>
    <w:p w14:paraId="5BA07AD8" w14:textId="77777777" w:rsidR="00011637" w:rsidRDefault="00011637">
      <w:pPr>
        <w:pStyle w:val="LO-normal"/>
        <w:ind w:left="-720"/>
        <w:jc w:val="both"/>
        <w:rPr>
          <w:sz w:val="20"/>
          <w:szCs w:val="20"/>
        </w:rPr>
      </w:pPr>
    </w:p>
    <w:p w14:paraId="369584B0" w14:textId="77777777" w:rsidR="00011637" w:rsidRDefault="00000000">
      <w:pPr>
        <w:pStyle w:val="LO-normal"/>
        <w:ind w:left="-720"/>
        <w:jc w:val="both"/>
      </w:pPr>
      <w:r>
        <w:rPr>
          <w:sz w:val="20"/>
          <w:szCs w:val="20"/>
        </w:rPr>
        <w:t xml:space="preserve">- Camilloni, A., </w:t>
      </w:r>
      <w:proofErr w:type="spellStart"/>
      <w:r>
        <w:rPr>
          <w:sz w:val="20"/>
          <w:szCs w:val="20"/>
        </w:rPr>
        <w:t>Litwin</w:t>
      </w:r>
      <w:proofErr w:type="spellEnd"/>
      <w:r>
        <w:rPr>
          <w:sz w:val="20"/>
          <w:szCs w:val="20"/>
        </w:rPr>
        <w:t xml:space="preserve">, E. y otros. (1998). </w:t>
      </w:r>
      <w:r>
        <w:rPr>
          <w:i/>
          <w:iCs/>
          <w:sz w:val="20"/>
          <w:szCs w:val="20"/>
        </w:rPr>
        <w:t>La evaluación de los aprendizajes en el debate didáctico contemporáneo</w:t>
      </w:r>
      <w:r>
        <w:rPr>
          <w:sz w:val="20"/>
          <w:szCs w:val="20"/>
        </w:rPr>
        <w:t>. Paidós.</w:t>
      </w:r>
    </w:p>
    <w:p w14:paraId="21103413" w14:textId="77777777" w:rsidR="00011637" w:rsidRDefault="00000000">
      <w:pPr>
        <w:pStyle w:val="LO-normal"/>
        <w:ind w:left="-720"/>
        <w:jc w:val="both"/>
      </w:pPr>
      <w:r>
        <w:rPr>
          <w:sz w:val="20"/>
          <w:szCs w:val="20"/>
        </w:rPr>
        <w:t xml:space="preserve">- Fenstermacher, G. (1989). Tres aspectos de la filosofía de la investigación sobre la enseñanza en M. </w:t>
      </w:r>
      <w:proofErr w:type="spellStart"/>
      <w:r>
        <w:rPr>
          <w:sz w:val="20"/>
          <w:szCs w:val="20"/>
        </w:rPr>
        <w:t>Wittrock</w:t>
      </w:r>
      <w:proofErr w:type="spellEnd"/>
      <w:r>
        <w:rPr>
          <w:sz w:val="20"/>
          <w:szCs w:val="20"/>
        </w:rPr>
        <w:t xml:space="preserve"> (ed.) </w:t>
      </w:r>
      <w:r>
        <w:rPr>
          <w:i/>
          <w:iCs/>
          <w:sz w:val="20"/>
          <w:szCs w:val="20"/>
        </w:rPr>
        <w:t>La investigación en la enseñanza.</w:t>
      </w:r>
      <w:r>
        <w:rPr>
          <w:sz w:val="20"/>
          <w:szCs w:val="20"/>
        </w:rPr>
        <w:t xml:space="preserve"> Paidós.</w:t>
      </w:r>
    </w:p>
    <w:p w14:paraId="05AA721B" w14:textId="77777777" w:rsidR="00011637" w:rsidRDefault="00000000">
      <w:pPr>
        <w:pStyle w:val="LO-normal"/>
        <w:jc w:val="both"/>
      </w:pPr>
      <w:hyperlink r:id="rId8" w:history="1"/>
    </w:p>
    <w:p w14:paraId="76E827EF" w14:textId="77777777" w:rsidR="00011637" w:rsidRDefault="00011637">
      <w:pPr>
        <w:pStyle w:val="LO-normal"/>
        <w:ind w:left="-720"/>
        <w:jc w:val="both"/>
        <w:rPr>
          <w:sz w:val="20"/>
          <w:szCs w:val="20"/>
        </w:rPr>
      </w:pPr>
    </w:p>
    <w:p w14:paraId="4350E985" w14:textId="77777777" w:rsidR="00011637" w:rsidRDefault="00011637">
      <w:pPr>
        <w:pStyle w:val="LO-normal"/>
        <w:ind w:left="-720"/>
        <w:jc w:val="both"/>
        <w:rPr>
          <w:sz w:val="20"/>
          <w:szCs w:val="20"/>
        </w:rPr>
      </w:pPr>
    </w:p>
    <w:p w14:paraId="121B6A29" w14:textId="77777777" w:rsidR="00011637" w:rsidRDefault="00011637">
      <w:pPr>
        <w:pStyle w:val="LO-normal"/>
        <w:ind w:left="-720"/>
        <w:jc w:val="both"/>
        <w:rPr>
          <w:sz w:val="20"/>
          <w:szCs w:val="20"/>
        </w:rPr>
      </w:pPr>
    </w:p>
    <w:p w14:paraId="40C46E60" w14:textId="77777777" w:rsidR="00011637" w:rsidRDefault="00011637">
      <w:pPr>
        <w:pStyle w:val="LO-normal"/>
        <w:ind w:left="-720"/>
        <w:jc w:val="both"/>
        <w:rPr>
          <w:sz w:val="20"/>
          <w:szCs w:val="20"/>
        </w:rPr>
      </w:pPr>
    </w:p>
    <w:p w14:paraId="4ACB3DA7" w14:textId="77777777" w:rsidR="00011637" w:rsidRDefault="00011637">
      <w:pPr>
        <w:pStyle w:val="LO-normal"/>
        <w:ind w:left="-720"/>
        <w:jc w:val="both"/>
        <w:rPr>
          <w:sz w:val="20"/>
          <w:szCs w:val="20"/>
        </w:rPr>
      </w:pPr>
    </w:p>
    <w:sectPr w:rsidR="00011637">
      <w:headerReference w:type="default" r:id="rId9"/>
      <w:footerReference w:type="default" r:id="rId10"/>
      <w:headerReference w:type="first" r:id="rId11"/>
      <w:footerReference w:type="first" r:id="rId12"/>
      <w:pgSz w:w="11906" w:h="16820"/>
      <w:pgMar w:top="1417" w:right="1560" w:bottom="1417" w:left="1701" w:header="708"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EA738" w14:textId="77777777" w:rsidR="00D20C39" w:rsidRDefault="00D20C39">
      <w:r>
        <w:separator/>
      </w:r>
    </w:p>
  </w:endnote>
  <w:endnote w:type="continuationSeparator" w:id="0">
    <w:p w14:paraId="5727648D" w14:textId="77777777" w:rsidR="00D20C39" w:rsidRDefault="00D20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87BCC" w14:textId="77777777" w:rsidR="00000000" w:rsidRDefault="000000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51756"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6C624" w14:textId="77777777" w:rsidR="00D20C39" w:rsidRDefault="00D20C39">
      <w:r>
        <w:rPr>
          <w:color w:val="000000"/>
        </w:rPr>
        <w:separator/>
      </w:r>
    </w:p>
  </w:footnote>
  <w:footnote w:type="continuationSeparator" w:id="0">
    <w:p w14:paraId="03CC0D53" w14:textId="77777777" w:rsidR="00D20C39" w:rsidRDefault="00D20C39">
      <w:r>
        <w:continuationSeparator/>
      </w:r>
    </w:p>
  </w:footnote>
  <w:footnote w:id="1">
    <w:p w14:paraId="6A75EBB6" w14:textId="77777777" w:rsidR="00011637" w:rsidRDefault="00000000">
      <w:pPr>
        <w:pStyle w:val="Footnote"/>
      </w:pPr>
      <w:r>
        <w:rPr>
          <w:rStyle w:val="Refdenotaalpie"/>
        </w:rPr>
        <w:footnoteRef/>
      </w:r>
      <w:r>
        <w:t>Dirección General de Cultura y Educación. Dirección Provincial de Educación Superior . Instituto de Formación docente n.º 46. (2023). Proyecto Educativo Institucional.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5A69A" w14:textId="77777777" w:rsidR="00000000" w:rsidRDefault="00000000">
    <w:pPr>
      <w:pStyle w:val="LO-normal"/>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AC8DA" w14:textId="77777777" w:rsidR="00000000" w:rsidRDefault="00000000">
    <w:pPr>
      <w:pStyle w:val="LO-normal"/>
      <w:tabs>
        <w:tab w:val="center" w:pos="4419"/>
        <w:tab w:val="right" w:pos="8838"/>
      </w:tabs>
      <w:rPr>
        <w:rFonts w:ascii="Times New Roman" w:eastAsia="Times New Roman" w:hAnsi="Times New Roman" w:cs="Times New Roman"/>
        <w:color w:val="000000"/>
      </w:rPr>
    </w:pPr>
  </w:p>
  <w:p w14:paraId="7A181368" w14:textId="77777777" w:rsidR="00000000" w:rsidRDefault="00000000">
    <w:pPr>
      <w:pStyle w:val="LO-normal"/>
      <w:tabs>
        <w:tab w:val="center" w:pos="4419"/>
        <w:tab w:val="right" w:pos="8838"/>
      </w:tabs>
      <w:jc w:val="center"/>
    </w:pPr>
    <w:r>
      <w:rPr>
        <w:rFonts w:ascii="Times New Roman" w:eastAsia="Times New Roman" w:hAnsi="Times New Roman" w:cs="Times New Roman"/>
        <w:noProof/>
        <w:color w:val="000000"/>
        <w:lang w:val="en-US" w:eastAsia="en-US" w:bidi="ar-SA"/>
      </w:rPr>
      <w:drawing>
        <wp:inline distT="0" distB="0" distL="0" distR="0" wp14:anchorId="5350EBCC" wp14:editId="6272D583">
          <wp:extent cx="969446" cy="951158"/>
          <wp:effectExtent l="0" t="0" r="2104" b="1342"/>
          <wp:docPr id="1184795906"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69446" cy="951158"/>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606EA"/>
    <w:multiLevelType w:val="multilevel"/>
    <w:tmpl w:val="E004BD2A"/>
    <w:styleLink w:val="WWNum1"/>
    <w:lvl w:ilvl="0">
      <w:numFmt w:val="bullet"/>
      <w:lvlText w:val="❑"/>
      <w:lvlJc w:val="left"/>
      <w:pPr>
        <w:ind w:left="720" w:hanging="360"/>
      </w:pPr>
      <w:rPr>
        <w:rFonts w:ascii="OpenSymbol" w:hAnsi="OpenSymbol" w:cs="OpenSymbol"/>
        <w:position w:val="0"/>
        <w:sz w:val="24"/>
        <w:szCs w:val="16"/>
        <w:vertAlign w:val="baseline"/>
      </w:rPr>
    </w:lvl>
    <w:lvl w:ilvl="1">
      <w:numFmt w:val="bullet"/>
      <w:lvlText w:null="1"/>
      <w:lvlJc w:val="left"/>
      <w:rPr>
        <w:rFonts w:ascii="OpenSymbol" w:hAnsi="OpenSymbol" w:cs="OpenSymbol"/>
      </w:rPr>
    </w:lvl>
    <w:lvl w:ilvl="2">
      <w:numFmt w:val="bullet"/>
      <w:lvlText w:null="1"/>
      <w:lvlJc w:val="left"/>
      <w:rPr>
        <w:rFonts w:ascii="OpenSymbol" w:hAnsi="OpenSymbol" w:cs="OpenSymbol"/>
      </w:rPr>
    </w:lvl>
    <w:lvl w:ilvl="3">
      <w:numFmt w:val="bullet"/>
      <w:lvlText w:null="1"/>
      <w:lvlJc w:val="left"/>
      <w:rPr>
        <w:rFonts w:ascii="OpenSymbol" w:hAnsi="OpenSymbol" w:cs="OpenSymbol"/>
      </w:rPr>
    </w:lvl>
    <w:lvl w:ilvl="4">
      <w:numFmt w:val="bullet"/>
      <w:lvlText w:null="1"/>
      <w:lvlJc w:val="left"/>
      <w:rPr>
        <w:rFonts w:ascii="OpenSymbol" w:hAnsi="OpenSymbol" w:cs="OpenSymbol"/>
      </w:rPr>
    </w:lvl>
    <w:lvl w:ilvl="5">
      <w:numFmt w:val="bullet"/>
      <w:lvlText w:null="1"/>
      <w:lvlJc w:val="left"/>
      <w:rPr>
        <w:rFonts w:ascii="OpenSymbol" w:hAnsi="OpenSymbol" w:cs="OpenSymbol"/>
      </w:rPr>
    </w:lvl>
    <w:lvl w:ilvl="6">
      <w:numFmt w:val="bullet"/>
      <w:lvlText w:null="1"/>
      <w:lvlJc w:val="left"/>
      <w:rPr>
        <w:rFonts w:ascii="OpenSymbol" w:hAnsi="OpenSymbol" w:cs="OpenSymbol"/>
      </w:rPr>
    </w:lvl>
    <w:lvl w:ilvl="7">
      <w:numFmt w:val="bullet"/>
      <w:lvlText w:null="1"/>
      <w:lvlJc w:val="left"/>
      <w:rPr>
        <w:rFonts w:ascii="OpenSymbol" w:hAnsi="OpenSymbol" w:cs="OpenSymbol"/>
      </w:rPr>
    </w:lvl>
    <w:lvl w:ilvl="8">
      <w:numFmt w:val="bullet"/>
      <w:lvlText w:null="1"/>
      <w:lvlJc w:val="left"/>
      <w:rPr>
        <w:rFonts w:ascii="OpenSymbol" w:hAnsi="OpenSymbol" w:cs="OpenSymbol"/>
      </w:rPr>
    </w:lvl>
  </w:abstractNum>
  <w:abstractNum w:abstractNumId="1" w15:restartNumberingAfterBreak="0">
    <w:nsid w:val="122F4317"/>
    <w:multiLevelType w:val="multilevel"/>
    <w:tmpl w:val="FC68CA90"/>
    <w:styleLink w:val="WWNum7"/>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 w15:restartNumberingAfterBreak="0">
    <w:nsid w:val="187D2E8E"/>
    <w:multiLevelType w:val="multilevel"/>
    <w:tmpl w:val="4E50A0B8"/>
    <w:styleLink w:val="WWNum4"/>
    <w:lvl w:ilvl="0">
      <w:numFmt w:val="bullet"/>
      <w:lvlText w:val="⮚"/>
      <w:lvlJc w:val="left"/>
      <w:pPr>
        <w:ind w:left="1425" w:hanging="360"/>
      </w:pPr>
      <w:rPr>
        <w:rFonts w:ascii="OpenSymbol" w:hAnsi="OpenSymbol" w:cs="OpenSymbol"/>
        <w:position w:val="0"/>
        <w:sz w:val="24"/>
        <w:szCs w:val="22"/>
        <w:vertAlign w:val="baseline"/>
      </w:rPr>
    </w:lvl>
    <w:lvl w:ilvl="1">
      <w:numFmt w:val="bullet"/>
      <w:lvlText w:null="1"/>
      <w:lvlJc w:val="left"/>
      <w:rPr>
        <w:rFonts w:ascii="OpenSymbol" w:hAnsi="OpenSymbol" w:cs="OpenSymbol"/>
      </w:rPr>
    </w:lvl>
    <w:lvl w:ilvl="2">
      <w:numFmt w:val="bullet"/>
      <w:lvlText w:null="1"/>
      <w:lvlJc w:val="left"/>
      <w:rPr>
        <w:rFonts w:ascii="OpenSymbol" w:hAnsi="OpenSymbol" w:cs="OpenSymbol"/>
      </w:rPr>
    </w:lvl>
    <w:lvl w:ilvl="3">
      <w:numFmt w:val="bullet"/>
      <w:lvlText w:null="1"/>
      <w:lvlJc w:val="left"/>
      <w:rPr>
        <w:rFonts w:ascii="OpenSymbol" w:hAnsi="OpenSymbol" w:cs="OpenSymbol"/>
      </w:rPr>
    </w:lvl>
    <w:lvl w:ilvl="4">
      <w:numFmt w:val="bullet"/>
      <w:lvlText w:null="1"/>
      <w:lvlJc w:val="left"/>
      <w:rPr>
        <w:rFonts w:ascii="OpenSymbol" w:hAnsi="OpenSymbol" w:cs="OpenSymbol"/>
      </w:rPr>
    </w:lvl>
    <w:lvl w:ilvl="5">
      <w:numFmt w:val="bullet"/>
      <w:lvlText w:null="1"/>
      <w:lvlJc w:val="left"/>
      <w:rPr>
        <w:rFonts w:ascii="OpenSymbol" w:hAnsi="OpenSymbol" w:cs="OpenSymbol"/>
      </w:rPr>
    </w:lvl>
    <w:lvl w:ilvl="6">
      <w:numFmt w:val="bullet"/>
      <w:lvlText w:null="1"/>
      <w:lvlJc w:val="left"/>
      <w:rPr>
        <w:rFonts w:ascii="OpenSymbol" w:hAnsi="OpenSymbol" w:cs="OpenSymbol"/>
      </w:rPr>
    </w:lvl>
    <w:lvl w:ilvl="7">
      <w:numFmt w:val="bullet"/>
      <w:lvlText w:null="1"/>
      <w:lvlJc w:val="left"/>
      <w:rPr>
        <w:rFonts w:ascii="OpenSymbol" w:hAnsi="OpenSymbol" w:cs="OpenSymbol"/>
      </w:rPr>
    </w:lvl>
    <w:lvl w:ilvl="8">
      <w:numFmt w:val="bullet"/>
      <w:lvlText w:null="1"/>
      <w:lvlJc w:val="left"/>
      <w:rPr>
        <w:rFonts w:ascii="OpenSymbol" w:hAnsi="OpenSymbol" w:cs="OpenSymbol"/>
      </w:rPr>
    </w:lvl>
  </w:abstractNum>
  <w:abstractNum w:abstractNumId="3" w15:restartNumberingAfterBreak="0">
    <w:nsid w:val="1A9A2BBA"/>
    <w:multiLevelType w:val="multilevel"/>
    <w:tmpl w:val="8BE2E47E"/>
    <w:styleLink w:val="WWNum6"/>
    <w:lvl w:ilvl="0">
      <w:numFmt w:val="bullet"/>
      <w:lvlText w:val="⮚"/>
      <w:lvlJc w:val="left"/>
      <w:pPr>
        <w:ind w:left="1425" w:hanging="360"/>
      </w:pPr>
      <w:rPr>
        <w:rFonts w:ascii="OpenSymbol" w:hAnsi="OpenSymbol" w:cs="OpenSymbol"/>
        <w:position w:val="0"/>
        <w:sz w:val="24"/>
        <w:szCs w:val="22"/>
        <w:vertAlign w:val="baseline"/>
      </w:rPr>
    </w:lvl>
    <w:lvl w:ilvl="1">
      <w:numFmt w:val="bullet"/>
      <w:lvlText w:null="1"/>
      <w:lvlJc w:val="left"/>
      <w:rPr>
        <w:rFonts w:ascii="OpenSymbol" w:hAnsi="OpenSymbol" w:cs="OpenSymbol"/>
      </w:rPr>
    </w:lvl>
    <w:lvl w:ilvl="2">
      <w:numFmt w:val="bullet"/>
      <w:lvlText w:null="1"/>
      <w:lvlJc w:val="left"/>
      <w:rPr>
        <w:rFonts w:ascii="OpenSymbol" w:hAnsi="OpenSymbol" w:cs="OpenSymbol"/>
      </w:rPr>
    </w:lvl>
    <w:lvl w:ilvl="3">
      <w:numFmt w:val="bullet"/>
      <w:lvlText w:null="1"/>
      <w:lvlJc w:val="left"/>
      <w:rPr>
        <w:rFonts w:ascii="OpenSymbol" w:hAnsi="OpenSymbol" w:cs="OpenSymbol"/>
      </w:rPr>
    </w:lvl>
    <w:lvl w:ilvl="4">
      <w:numFmt w:val="bullet"/>
      <w:lvlText w:null="1"/>
      <w:lvlJc w:val="left"/>
      <w:rPr>
        <w:rFonts w:ascii="OpenSymbol" w:hAnsi="OpenSymbol" w:cs="OpenSymbol"/>
      </w:rPr>
    </w:lvl>
    <w:lvl w:ilvl="5">
      <w:numFmt w:val="bullet"/>
      <w:lvlText w:null="1"/>
      <w:lvlJc w:val="left"/>
      <w:rPr>
        <w:rFonts w:ascii="OpenSymbol" w:hAnsi="OpenSymbol" w:cs="OpenSymbol"/>
      </w:rPr>
    </w:lvl>
    <w:lvl w:ilvl="6">
      <w:numFmt w:val="bullet"/>
      <w:lvlText w:null="1"/>
      <w:lvlJc w:val="left"/>
      <w:rPr>
        <w:rFonts w:ascii="OpenSymbol" w:hAnsi="OpenSymbol" w:cs="OpenSymbol"/>
      </w:rPr>
    </w:lvl>
    <w:lvl w:ilvl="7">
      <w:numFmt w:val="bullet"/>
      <w:lvlText w:null="1"/>
      <w:lvlJc w:val="left"/>
      <w:rPr>
        <w:rFonts w:ascii="OpenSymbol" w:hAnsi="OpenSymbol" w:cs="OpenSymbol"/>
      </w:rPr>
    </w:lvl>
    <w:lvl w:ilvl="8">
      <w:numFmt w:val="bullet"/>
      <w:lvlText w:null="1"/>
      <w:lvlJc w:val="left"/>
      <w:rPr>
        <w:rFonts w:ascii="OpenSymbol" w:hAnsi="OpenSymbol" w:cs="OpenSymbol"/>
      </w:rPr>
    </w:lvl>
  </w:abstractNum>
  <w:abstractNum w:abstractNumId="4" w15:restartNumberingAfterBreak="0">
    <w:nsid w:val="28E6475E"/>
    <w:multiLevelType w:val="multilevel"/>
    <w:tmpl w:val="6916F588"/>
    <w:styleLink w:val="WW8Num3"/>
    <w:lvl w:ilvl="0">
      <w:numFmt w:val="bullet"/>
      <w:lvlText w:val=""/>
      <w:lvlJc w:val="left"/>
      <w:pPr>
        <w:ind w:left="720" w:hanging="360"/>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4265C65"/>
    <w:multiLevelType w:val="multilevel"/>
    <w:tmpl w:val="8F82F650"/>
    <w:styleLink w:val="WW8Num6"/>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szCs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szCs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342B2547"/>
    <w:multiLevelType w:val="multilevel"/>
    <w:tmpl w:val="9BF23E44"/>
    <w:styleLink w:val="WWNum5"/>
    <w:lvl w:ilvl="0">
      <w:numFmt w:val="bullet"/>
      <w:lvlText w:val="❖"/>
      <w:lvlJc w:val="left"/>
      <w:pPr>
        <w:ind w:left="720" w:hanging="360"/>
      </w:pPr>
      <w:rPr>
        <w:rFonts w:ascii="OpenSymbol" w:hAnsi="OpenSymbol" w:cs="OpenSymbol"/>
        <w:position w:val="0"/>
        <w:sz w:val="24"/>
        <w:szCs w:val="22"/>
        <w:vertAlign w:val="baseline"/>
      </w:rPr>
    </w:lvl>
    <w:lvl w:ilvl="1">
      <w:numFmt w:val="bullet"/>
      <w:lvlText w:null="1"/>
      <w:lvlJc w:val="left"/>
      <w:rPr>
        <w:rFonts w:ascii="OpenSymbol" w:hAnsi="OpenSymbol" w:cs="OpenSymbol"/>
      </w:rPr>
    </w:lvl>
    <w:lvl w:ilvl="2">
      <w:numFmt w:val="bullet"/>
      <w:lvlText w:null="1"/>
      <w:lvlJc w:val="left"/>
      <w:rPr>
        <w:rFonts w:ascii="OpenSymbol" w:hAnsi="OpenSymbol" w:cs="OpenSymbol"/>
      </w:rPr>
    </w:lvl>
    <w:lvl w:ilvl="3">
      <w:numFmt w:val="bullet"/>
      <w:lvlText w:null="1"/>
      <w:lvlJc w:val="left"/>
      <w:rPr>
        <w:rFonts w:ascii="OpenSymbol" w:hAnsi="OpenSymbol" w:cs="OpenSymbol"/>
      </w:rPr>
    </w:lvl>
    <w:lvl w:ilvl="4">
      <w:numFmt w:val="bullet"/>
      <w:lvlText w:null="1"/>
      <w:lvlJc w:val="left"/>
      <w:rPr>
        <w:rFonts w:ascii="OpenSymbol" w:hAnsi="OpenSymbol" w:cs="OpenSymbol"/>
      </w:rPr>
    </w:lvl>
    <w:lvl w:ilvl="5">
      <w:numFmt w:val="bullet"/>
      <w:lvlText w:null="1"/>
      <w:lvlJc w:val="left"/>
      <w:rPr>
        <w:rFonts w:ascii="OpenSymbol" w:hAnsi="OpenSymbol" w:cs="OpenSymbol"/>
      </w:rPr>
    </w:lvl>
    <w:lvl w:ilvl="6">
      <w:numFmt w:val="bullet"/>
      <w:lvlText w:null="1"/>
      <w:lvlJc w:val="left"/>
      <w:rPr>
        <w:rFonts w:ascii="OpenSymbol" w:hAnsi="OpenSymbol" w:cs="OpenSymbol"/>
      </w:rPr>
    </w:lvl>
    <w:lvl w:ilvl="7">
      <w:numFmt w:val="bullet"/>
      <w:lvlText w:null="1"/>
      <w:lvlJc w:val="left"/>
      <w:rPr>
        <w:rFonts w:ascii="OpenSymbol" w:hAnsi="OpenSymbol" w:cs="OpenSymbol"/>
      </w:rPr>
    </w:lvl>
    <w:lvl w:ilvl="8">
      <w:numFmt w:val="bullet"/>
      <w:lvlText w:null="1"/>
      <w:lvlJc w:val="left"/>
      <w:rPr>
        <w:rFonts w:ascii="OpenSymbol" w:hAnsi="OpenSymbol" w:cs="OpenSymbol"/>
      </w:rPr>
    </w:lvl>
  </w:abstractNum>
  <w:abstractNum w:abstractNumId="7" w15:restartNumberingAfterBreak="0">
    <w:nsid w:val="47D91E93"/>
    <w:multiLevelType w:val="multilevel"/>
    <w:tmpl w:val="35B03248"/>
    <w:styleLink w:val="WW8Num7"/>
    <w:lvl w:ilvl="0">
      <w:numFmt w:val="bullet"/>
      <w:lvlText w:val=""/>
      <w:lvlJc w:val="left"/>
      <w:pPr>
        <w:ind w:left="1440" w:hanging="360"/>
      </w:pPr>
      <w:rPr>
        <w:rFonts w:ascii="Symbol" w:hAnsi="Symbol" w:cs="Symbol"/>
        <w:sz w:val="20"/>
        <w:szCs w:val="20"/>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sz w:val="20"/>
        <w:szCs w:val="20"/>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sz w:val="20"/>
        <w:szCs w:val="20"/>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8" w15:restartNumberingAfterBreak="0">
    <w:nsid w:val="57AE6BAA"/>
    <w:multiLevelType w:val="multilevel"/>
    <w:tmpl w:val="547ED168"/>
    <w:styleLink w:val="WWNum2"/>
    <w:lvl w:ilvl="0">
      <w:numFmt w:val="bullet"/>
      <w:lvlText w:val="⮚"/>
      <w:lvlJc w:val="left"/>
      <w:pPr>
        <w:ind w:left="1428" w:hanging="360"/>
      </w:pPr>
      <w:rPr>
        <w:rFonts w:ascii="OpenSymbol" w:hAnsi="OpenSymbol" w:cs="OpenSymbol"/>
        <w:position w:val="0"/>
        <w:sz w:val="24"/>
        <w:szCs w:val="22"/>
        <w:vertAlign w:val="baseline"/>
      </w:rPr>
    </w:lvl>
    <w:lvl w:ilvl="1">
      <w:numFmt w:val="bullet"/>
      <w:lvlText w:null="1"/>
      <w:lvlJc w:val="left"/>
      <w:rPr>
        <w:rFonts w:ascii="OpenSymbol" w:hAnsi="OpenSymbol" w:cs="OpenSymbol"/>
      </w:rPr>
    </w:lvl>
    <w:lvl w:ilvl="2">
      <w:numFmt w:val="bullet"/>
      <w:lvlText w:null="1"/>
      <w:lvlJc w:val="left"/>
      <w:rPr>
        <w:rFonts w:ascii="OpenSymbol" w:hAnsi="OpenSymbol" w:cs="OpenSymbol"/>
      </w:rPr>
    </w:lvl>
    <w:lvl w:ilvl="3">
      <w:numFmt w:val="bullet"/>
      <w:lvlText w:null="1"/>
      <w:lvlJc w:val="left"/>
      <w:rPr>
        <w:rFonts w:ascii="OpenSymbol" w:hAnsi="OpenSymbol" w:cs="OpenSymbol"/>
      </w:rPr>
    </w:lvl>
    <w:lvl w:ilvl="4">
      <w:numFmt w:val="bullet"/>
      <w:lvlText w:null="1"/>
      <w:lvlJc w:val="left"/>
      <w:rPr>
        <w:rFonts w:ascii="OpenSymbol" w:hAnsi="OpenSymbol" w:cs="OpenSymbol"/>
      </w:rPr>
    </w:lvl>
    <w:lvl w:ilvl="5">
      <w:numFmt w:val="bullet"/>
      <w:lvlText w:null="1"/>
      <w:lvlJc w:val="left"/>
      <w:rPr>
        <w:rFonts w:ascii="OpenSymbol" w:hAnsi="OpenSymbol" w:cs="OpenSymbol"/>
      </w:rPr>
    </w:lvl>
    <w:lvl w:ilvl="6">
      <w:numFmt w:val="bullet"/>
      <w:lvlText w:null="1"/>
      <w:lvlJc w:val="left"/>
      <w:rPr>
        <w:rFonts w:ascii="OpenSymbol" w:hAnsi="OpenSymbol" w:cs="OpenSymbol"/>
      </w:rPr>
    </w:lvl>
    <w:lvl w:ilvl="7">
      <w:numFmt w:val="bullet"/>
      <w:lvlText w:null="1"/>
      <w:lvlJc w:val="left"/>
      <w:rPr>
        <w:rFonts w:ascii="OpenSymbol" w:hAnsi="OpenSymbol" w:cs="OpenSymbol"/>
      </w:rPr>
    </w:lvl>
    <w:lvl w:ilvl="8">
      <w:numFmt w:val="bullet"/>
      <w:lvlText w:null="1"/>
      <w:lvlJc w:val="left"/>
      <w:rPr>
        <w:rFonts w:ascii="OpenSymbol" w:hAnsi="OpenSymbol" w:cs="OpenSymbol"/>
      </w:rPr>
    </w:lvl>
  </w:abstractNum>
  <w:abstractNum w:abstractNumId="9" w15:restartNumberingAfterBreak="0">
    <w:nsid w:val="5BDA7ADF"/>
    <w:multiLevelType w:val="multilevel"/>
    <w:tmpl w:val="2A567468"/>
    <w:styleLink w:val="WW8Num5"/>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szCs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szCs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6E254B5B"/>
    <w:multiLevelType w:val="multilevel"/>
    <w:tmpl w:val="71C86E36"/>
    <w:styleLink w:val="WWNum3"/>
    <w:lvl w:ilvl="0">
      <w:start w:val="1"/>
      <w:numFmt w:val="none"/>
      <w:suff w:val="nothing"/>
      <w:lvlText w:val="%1"/>
      <w:lvlJc w:val="left"/>
      <w:rPr>
        <w:position w:val="0"/>
        <w:sz w:val="24"/>
        <w:szCs w:val="24"/>
        <w:vertAlign w:val="baseline"/>
      </w:rPr>
    </w:lvl>
    <w:lvl w:ilvl="1">
      <w:start w:val="1"/>
      <w:numFmt w:val="none"/>
      <w:suff w:val="nothing"/>
      <w:lvlText w:val="%2"/>
      <w:lvlJc w:val="left"/>
      <w:rPr>
        <w:rFonts w:ascii="Calibri" w:hAnsi="Calibri"/>
        <w:position w:val="0"/>
        <w:sz w:val="24"/>
        <w:szCs w:val="24"/>
        <w:vertAlign w:val="baseline"/>
      </w:rPr>
    </w:lvl>
    <w:lvl w:ilvl="2">
      <w:start w:val="1"/>
      <w:numFmt w:val="none"/>
      <w:suff w:val="nothing"/>
      <w:lvlText w:val="%3"/>
      <w:lvlJc w:val="left"/>
      <w:rPr>
        <w:position w:val="0"/>
        <w:sz w:val="24"/>
        <w:szCs w:val="24"/>
        <w:vertAlign w:val="baseline"/>
      </w:rPr>
    </w:lvl>
    <w:lvl w:ilvl="3">
      <w:start w:val="1"/>
      <w:numFmt w:val="none"/>
      <w:suff w:val="nothing"/>
      <w:lvlText w:val="%4"/>
      <w:lvlJc w:val="left"/>
      <w:rPr>
        <w:position w:val="0"/>
        <w:sz w:val="24"/>
        <w:szCs w:val="24"/>
        <w:vertAlign w:val="baseline"/>
      </w:rPr>
    </w:lvl>
    <w:lvl w:ilvl="4">
      <w:start w:val="1"/>
      <w:numFmt w:val="none"/>
      <w:suff w:val="nothing"/>
      <w:lvlText w:val="%5"/>
      <w:lvlJc w:val="left"/>
      <w:rPr>
        <w:position w:val="0"/>
        <w:sz w:val="24"/>
        <w:szCs w:val="24"/>
        <w:vertAlign w:val="baseline"/>
      </w:rPr>
    </w:lvl>
    <w:lvl w:ilvl="5">
      <w:start w:val="1"/>
      <w:numFmt w:val="none"/>
      <w:suff w:val="nothing"/>
      <w:lvlText w:val="%6"/>
      <w:lvlJc w:val="left"/>
      <w:rPr>
        <w:position w:val="0"/>
        <w:sz w:val="24"/>
        <w:szCs w:val="24"/>
        <w:vertAlign w:val="baseline"/>
      </w:rPr>
    </w:lvl>
    <w:lvl w:ilvl="6">
      <w:start w:val="1"/>
      <w:numFmt w:val="none"/>
      <w:suff w:val="nothing"/>
      <w:lvlText w:val="%7"/>
      <w:lvlJc w:val="left"/>
      <w:rPr>
        <w:position w:val="0"/>
        <w:sz w:val="24"/>
        <w:szCs w:val="24"/>
        <w:vertAlign w:val="baseline"/>
      </w:rPr>
    </w:lvl>
    <w:lvl w:ilvl="7">
      <w:start w:val="1"/>
      <w:numFmt w:val="none"/>
      <w:suff w:val="nothing"/>
      <w:lvlText w:val="%8"/>
      <w:lvlJc w:val="left"/>
      <w:rPr>
        <w:position w:val="0"/>
        <w:sz w:val="24"/>
        <w:szCs w:val="24"/>
        <w:vertAlign w:val="baseline"/>
      </w:rPr>
    </w:lvl>
    <w:lvl w:ilvl="8">
      <w:start w:val="1"/>
      <w:numFmt w:val="none"/>
      <w:suff w:val="nothing"/>
      <w:lvlText w:val="%9"/>
      <w:lvlJc w:val="left"/>
      <w:rPr>
        <w:position w:val="0"/>
        <w:sz w:val="24"/>
        <w:szCs w:val="24"/>
        <w:vertAlign w:val="baseline"/>
      </w:rPr>
    </w:lvl>
  </w:abstractNum>
  <w:num w:numId="1" w16cid:durableId="1278489024">
    <w:abstractNumId w:val="0"/>
  </w:num>
  <w:num w:numId="2" w16cid:durableId="328946636">
    <w:abstractNumId w:val="8"/>
  </w:num>
  <w:num w:numId="3" w16cid:durableId="1112169942">
    <w:abstractNumId w:val="10"/>
  </w:num>
  <w:num w:numId="4" w16cid:durableId="326859021">
    <w:abstractNumId w:val="2"/>
  </w:num>
  <w:num w:numId="5" w16cid:durableId="2146269602">
    <w:abstractNumId w:val="6"/>
  </w:num>
  <w:num w:numId="6" w16cid:durableId="485241669">
    <w:abstractNumId w:val="3"/>
  </w:num>
  <w:num w:numId="7" w16cid:durableId="974288679">
    <w:abstractNumId w:val="1"/>
  </w:num>
  <w:num w:numId="8" w16cid:durableId="623730899">
    <w:abstractNumId w:val="9"/>
  </w:num>
  <w:num w:numId="9" w16cid:durableId="804543415">
    <w:abstractNumId w:val="7"/>
  </w:num>
  <w:num w:numId="10" w16cid:durableId="2068140181">
    <w:abstractNumId w:val="5"/>
  </w:num>
  <w:num w:numId="11" w16cid:durableId="21428399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11637"/>
    <w:rsid w:val="00011637"/>
    <w:rsid w:val="002F2DAE"/>
    <w:rsid w:val="00B323AD"/>
    <w:rsid w:val="00D20C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A631C"/>
  <w15:docId w15:val="{C2BB30B1-6862-488D-BF12-959EBADB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s-A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next w:val="LO-normal"/>
    <w:uiPriority w:val="9"/>
    <w:qFormat/>
    <w:pPr>
      <w:keepNext/>
      <w:widowControl/>
      <w:suppressAutoHyphens/>
      <w:ind w:left="720" w:hanging="360"/>
      <w:outlineLvl w:val="0"/>
    </w:pPr>
    <w:rPr>
      <w:b/>
      <w:color w:val="000000"/>
    </w:rPr>
  </w:style>
  <w:style w:type="paragraph" w:styleId="Ttulo2">
    <w:name w:val="heading 2"/>
    <w:next w:val="LO-normal"/>
    <w:uiPriority w:val="9"/>
    <w:semiHidden/>
    <w:unhideWhenUsed/>
    <w:qFormat/>
    <w:pPr>
      <w:keepNext/>
      <w:widowControl/>
      <w:suppressAutoHyphens/>
      <w:jc w:val="both"/>
      <w:outlineLvl w:val="1"/>
    </w:pPr>
    <w:rPr>
      <w:b/>
      <w:color w:val="000000"/>
    </w:rPr>
  </w:style>
  <w:style w:type="paragraph" w:styleId="Ttulo3">
    <w:name w:val="heading 3"/>
    <w:next w:val="LO-normal"/>
    <w:uiPriority w:val="9"/>
    <w:semiHidden/>
    <w:unhideWhenUsed/>
    <w:qFormat/>
    <w:pPr>
      <w:keepNext/>
      <w:widowControl/>
      <w:suppressAutoHyphens/>
      <w:ind w:left="360"/>
      <w:jc w:val="both"/>
      <w:outlineLvl w:val="2"/>
    </w:pPr>
    <w:rPr>
      <w:b/>
      <w:color w:val="000000"/>
    </w:rPr>
  </w:style>
  <w:style w:type="paragraph" w:styleId="Ttulo4">
    <w:name w:val="heading 4"/>
    <w:next w:val="LO-normal"/>
    <w:uiPriority w:val="9"/>
    <w:semiHidden/>
    <w:unhideWhenUsed/>
    <w:qFormat/>
    <w:pPr>
      <w:keepNext/>
      <w:widowControl/>
      <w:suppressAutoHyphens/>
      <w:ind w:left="705"/>
      <w:jc w:val="both"/>
      <w:outlineLvl w:val="3"/>
    </w:pPr>
    <w:rPr>
      <w:b/>
      <w:color w:val="000000"/>
    </w:rPr>
  </w:style>
  <w:style w:type="paragraph" w:styleId="Ttulo5">
    <w:name w:val="heading 5"/>
    <w:next w:val="LO-normal"/>
    <w:uiPriority w:val="9"/>
    <w:semiHidden/>
    <w:unhideWhenUsed/>
    <w:qFormat/>
    <w:pPr>
      <w:keepNext/>
      <w:keepLines/>
      <w:widowControl/>
      <w:suppressAutoHyphens/>
      <w:spacing w:before="220" w:after="40"/>
      <w:outlineLvl w:val="4"/>
    </w:pPr>
    <w:rPr>
      <w:b/>
      <w:color w:val="000000"/>
      <w:sz w:val="22"/>
      <w:szCs w:val="22"/>
    </w:rPr>
  </w:style>
  <w:style w:type="paragraph" w:styleId="Ttulo6">
    <w:name w:val="heading 6"/>
    <w:next w:val="LO-normal"/>
    <w:uiPriority w:val="9"/>
    <w:semiHidden/>
    <w:unhideWhenUsed/>
    <w:qFormat/>
    <w:pPr>
      <w:keepNext/>
      <w:keepLines/>
      <w:widowControl/>
      <w:suppressAutoHyphens/>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Arial"/>
    </w:rPr>
  </w:style>
  <w:style w:type="paragraph" w:styleId="Descripci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LO-normal">
    <w:name w:val="LO-normal"/>
    <w:pPr>
      <w:widowControl/>
      <w:suppressAutoHyphens/>
    </w:pPr>
  </w:style>
  <w:style w:type="paragraph" w:styleId="Ttulo">
    <w:name w:val="Title"/>
    <w:basedOn w:val="LO-normal"/>
    <w:next w:val="LO-normal"/>
    <w:uiPriority w:val="10"/>
    <w:qFormat/>
    <w:pPr>
      <w:keepNext/>
      <w:keepLines/>
      <w:spacing w:before="480" w:after="120"/>
    </w:pPr>
    <w:rPr>
      <w:b/>
      <w:sz w:val="72"/>
      <w:szCs w:val="72"/>
    </w:rPr>
  </w:style>
  <w:style w:type="paragraph" w:styleId="Subttulo">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Standard"/>
  </w:style>
  <w:style w:type="paragraph" w:styleId="Encabezado">
    <w:name w:val="header"/>
    <w:basedOn w:val="HeaderandFooter"/>
  </w:style>
  <w:style w:type="paragraph" w:styleId="Prrafodelista">
    <w:name w:val="List Paragraph"/>
    <w:basedOn w:val="Standard"/>
    <w:pPr>
      <w:spacing w:after="160"/>
      <w:ind w:left="720"/>
    </w:pPr>
  </w:style>
  <w:style w:type="paragraph" w:customStyle="1" w:styleId="Footnote">
    <w:name w:val="Footnote"/>
    <w:basedOn w:val="Standard"/>
    <w:pPr>
      <w:suppressLineNumbers/>
      <w:ind w:left="339" w:hanging="339"/>
    </w:pPr>
    <w:rPr>
      <w:sz w:val="20"/>
      <w:szCs w:val="20"/>
    </w:rPr>
  </w:style>
  <w:style w:type="paragraph" w:styleId="Piedepgina">
    <w:name w:val="footer"/>
    <w:basedOn w:val="HeaderandFooter"/>
    <w:pPr>
      <w:suppressLineNumbers/>
      <w:tabs>
        <w:tab w:val="center" w:pos="4252"/>
        <w:tab w:val="right" w:pos="8504"/>
      </w:tabs>
    </w:pPr>
  </w:style>
  <w:style w:type="paragraph" w:customStyle="1" w:styleId="Normal1">
    <w:name w:val="Normal1"/>
    <w:pPr>
      <w:widowControl/>
      <w:suppressAutoHyphens/>
      <w:spacing w:line="276" w:lineRule="auto"/>
    </w:pPr>
    <w:rPr>
      <w:rFonts w:ascii="Arial" w:eastAsia="Arial" w:hAnsi="Arial" w:cs="Arial"/>
      <w:color w:val="000000"/>
      <w:sz w:val="22"/>
      <w:szCs w:val="22"/>
    </w:rPr>
  </w:style>
  <w:style w:type="character" w:customStyle="1" w:styleId="ListLabel1">
    <w:name w:val="ListLabel 1"/>
    <w:rPr>
      <w:rFonts w:ascii="Calibri" w:eastAsia="Calibri" w:hAnsi="Calibri" w:cs="OpenSymbol"/>
      <w:position w:val="0"/>
      <w:sz w:val="24"/>
      <w:szCs w:val="16"/>
      <w:vertAlign w:val="baseline"/>
    </w:rPr>
  </w:style>
  <w:style w:type="character" w:customStyle="1" w:styleId="ListLabel2">
    <w:name w:val="ListLabel 2"/>
    <w:rPr>
      <w:rFonts w:cs="OpenSymbol"/>
    </w:rPr>
  </w:style>
  <w:style w:type="character" w:customStyle="1" w:styleId="ListLabel3">
    <w:name w:val="ListLabel 3"/>
    <w:rPr>
      <w:rFonts w:cs="OpenSymbol"/>
    </w:rPr>
  </w:style>
  <w:style w:type="character" w:customStyle="1" w:styleId="ListLabel4">
    <w:name w:val="ListLabel 4"/>
    <w:rPr>
      <w:rFonts w:cs="OpenSymbol"/>
    </w:rPr>
  </w:style>
  <w:style w:type="character" w:customStyle="1" w:styleId="ListLabel5">
    <w:name w:val="ListLabel 5"/>
    <w:rPr>
      <w:rFonts w:cs="OpenSymbol"/>
    </w:rPr>
  </w:style>
  <w:style w:type="character" w:customStyle="1" w:styleId="ListLabel6">
    <w:name w:val="ListLabel 6"/>
    <w:rPr>
      <w:rFonts w:cs="OpenSymbol"/>
    </w:rPr>
  </w:style>
  <w:style w:type="character" w:customStyle="1" w:styleId="ListLabel7">
    <w:name w:val="ListLabel 7"/>
    <w:rPr>
      <w:rFonts w:cs="OpenSymbol"/>
    </w:rPr>
  </w:style>
  <w:style w:type="character" w:customStyle="1" w:styleId="ListLabel8">
    <w:name w:val="ListLabel 8"/>
    <w:rPr>
      <w:rFonts w:cs="OpenSymbol"/>
    </w:rPr>
  </w:style>
  <w:style w:type="character" w:customStyle="1" w:styleId="ListLabel9">
    <w:name w:val="ListLabel 9"/>
    <w:rPr>
      <w:rFonts w:cs="OpenSymbol"/>
    </w:rPr>
  </w:style>
  <w:style w:type="character" w:customStyle="1" w:styleId="ListLabel10">
    <w:name w:val="ListLabel 10"/>
    <w:rPr>
      <w:rFonts w:ascii="Calibri" w:eastAsia="Calibri" w:hAnsi="Calibri" w:cs="OpenSymbol"/>
      <w:position w:val="0"/>
      <w:sz w:val="24"/>
      <w:szCs w:val="22"/>
      <w:vertAlign w:val="baseline"/>
    </w:rPr>
  </w:style>
  <w:style w:type="character" w:customStyle="1" w:styleId="ListLabel11">
    <w:name w:val="ListLabel 11"/>
    <w:rPr>
      <w:rFonts w:cs="OpenSymbol"/>
    </w:rPr>
  </w:style>
  <w:style w:type="character" w:customStyle="1" w:styleId="ListLabel12">
    <w:name w:val="ListLabel 12"/>
    <w:rPr>
      <w:rFonts w:cs="OpenSymbol"/>
    </w:rPr>
  </w:style>
  <w:style w:type="character" w:customStyle="1" w:styleId="ListLabel13">
    <w:name w:val="ListLabel 13"/>
    <w:rPr>
      <w:rFonts w:cs="OpenSymbol"/>
    </w:rPr>
  </w:style>
  <w:style w:type="character" w:customStyle="1" w:styleId="ListLabel14">
    <w:name w:val="ListLabel 14"/>
    <w:rPr>
      <w:rFonts w:cs="OpenSymbol"/>
    </w:rPr>
  </w:style>
  <w:style w:type="character" w:customStyle="1" w:styleId="ListLabel15">
    <w:name w:val="ListLabel 15"/>
    <w:rPr>
      <w:rFonts w:cs="OpenSymbol"/>
    </w:rPr>
  </w:style>
  <w:style w:type="character" w:customStyle="1" w:styleId="ListLabel16">
    <w:name w:val="ListLabel 16"/>
    <w:rPr>
      <w:rFonts w:cs="OpenSymbol"/>
    </w:rPr>
  </w:style>
  <w:style w:type="character" w:customStyle="1" w:styleId="ListLabel17">
    <w:name w:val="ListLabel 17"/>
    <w:rPr>
      <w:rFonts w:cs="OpenSymbol"/>
    </w:rPr>
  </w:style>
  <w:style w:type="character" w:customStyle="1" w:styleId="ListLabel18">
    <w:name w:val="ListLabel 18"/>
    <w:rPr>
      <w:rFonts w:cs="OpenSymbol"/>
    </w:rPr>
  </w:style>
  <w:style w:type="character" w:customStyle="1" w:styleId="ListLabel19">
    <w:name w:val="ListLabel 19"/>
    <w:rPr>
      <w:position w:val="0"/>
      <w:sz w:val="24"/>
      <w:szCs w:val="24"/>
      <w:vertAlign w:val="baseline"/>
    </w:rPr>
  </w:style>
  <w:style w:type="character" w:customStyle="1" w:styleId="ListLabel20">
    <w:name w:val="ListLabel 20"/>
    <w:rPr>
      <w:rFonts w:ascii="Calibri" w:eastAsia="Calibri" w:hAnsi="Calibri" w:cs="Calibri"/>
      <w:position w:val="0"/>
      <w:sz w:val="24"/>
      <w:szCs w:val="24"/>
      <w:vertAlign w:val="baseline"/>
    </w:rPr>
  </w:style>
  <w:style w:type="character" w:customStyle="1" w:styleId="ListLabel21">
    <w:name w:val="ListLabel 21"/>
    <w:rPr>
      <w:position w:val="0"/>
      <w:sz w:val="24"/>
      <w:szCs w:val="24"/>
      <w:vertAlign w:val="baseline"/>
    </w:rPr>
  </w:style>
  <w:style w:type="character" w:customStyle="1" w:styleId="ListLabel22">
    <w:name w:val="ListLabel 22"/>
    <w:rPr>
      <w:position w:val="0"/>
      <w:sz w:val="24"/>
      <w:szCs w:val="24"/>
      <w:vertAlign w:val="baseline"/>
    </w:rPr>
  </w:style>
  <w:style w:type="character" w:customStyle="1" w:styleId="ListLabel23">
    <w:name w:val="ListLabel 23"/>
    <w:rPr>
      <w:position w:val="0"/>
      <w:sz w:val="24"/>
      <w:szCs w:val="24"/>
      <w:vertAlign w:val="baseline"/>
    </w:rPr>
  </w:style>
  <w:style w:type="character" w:customStyle="1" w:styleId="ListLabel24">
    <w:name w:val="ListLabel 24"/>
    <w:rPr>
      <w:position w:val="0"/>
      <w:sz w:val="24"/>
      <w:szCs w:val="24"/>
      <w:vertAlign w:val="baseline"/>
    </w:rPr>
  </w:style>
  <w:style w:type="character" w:customStyle="1" w:styleId="ListLabel25">
    <w:name w:val="ListLabel 25"/>
    <w:rPr>
      <w:position w:val="0"/>
      <w:sz w:val="24"/>
      <w:szCs w:val="24"/>
      <w:vertAlign w:val="baseline"/>
    </w:rPr>
  </w:style>
  <w:style w:type="character" w:customStyle="1" w:styleId="ListLabel26">
    <w:name w:val="ListLabel 26"/>
    <w:rPr>
      <w:position w:val="0"/>
      <w:sz w:val="24"/>
      <w:szCs w:val="24"/>
      <w:vertAlign w:val="baseline"/>
    </w:rPr>
  </w:style>
  <w:style w:type="character" w:customStyle="1" w:styleId="ListLabel27">
    <w:name w:val="ListLabel 27"/>
    <w:rPr>
      <w:position w:val="0"/>
      <w:sz w:val="24"/>
      <w:szCs w:val="24"/>
      <w:vertAlign w:val="baseline"/>
    </w:rPr>
  </w:style>
  <w:style w:type="character" w:customStyle="1" w:styleId="ListLabel28">
    <w:name w:val="ListLabel 28"/>
    <w:rPr>
      <w:rFonts w:ascii="Calibri" w:eastAsia="Calibri" w:hAnsi="Calibri" w:cs="OpenSymbol"/>
      <w:position w:val="0"/>
      <w:sz w:val="24"/>
      <w:szCs w:val="22"/>
      <w:vertAlign w:val="baseline"/>
    </w:rPr>
  </w:style>
  <w:style w:type="character" w:customStyle="1" w:styleId="ListLabel29">
    <w:name w:val="ListLabel 29"/>
    <w:rPr>
      <w:rFonts w:cs="OpenSymbol"/>
    </w:rPr>
  </w:style>
  <w:style w:type="character" w:customStyle="1" w:styleId="ListLabel30">
    <w:name w:val="ListLabel 30"/>
    <w:rPr>
      <w:rFonts w:cs="OpenSymbol"/>
    </w:rPr>
  </w:style>
  <w:style w:type="character" w:customStyle="1" w:styleId="ListLabel31">
    <w:name w:val="ListLabel 31"/>
    <w:rPr>
      <w:rFonts w:cs="OpenSymbol"/>
    </w:rPr>
  </w:style>
  <w:style w:type="character" w:customStyle="1" w:styleId="ListLabel32">
    <w:name w:val="ListLabel 32"/>
    <w:rPr>
      <w:rFonts w:cs="OpenSymbol"/>
    </w:rPr>
  </w:style>
  <w:style w:type="character" w:customStyle="1" w:styleId="ListLabel33">
    <w:name w:val="ListLabel 33"/>
    <w:rPr>
      <w:rFonts w:cs="OpenSymbol"/>
    </w:rPr>
  </w:style>
  <w:style w:type="character" w:customStyle="1" w:styleId="ListLabel34">
    <w:name w:val="ListLabel 34"/>
    <w:rPr>
      <w:rFonts w:cs="OpenSymbol"/>
    </w:rPr>
  </w:style>
  <w:style w:type="character" w:customStyle="1" w:styleId="ListLabel35">
    <w:name w:val="ListLabel 35"/>
    <w:rPr>
      <w:rFonts w:cs="OpenSymbol"/>
    </w:rPr>
  </w:style>
  <w:style w:type="character" w:customStyle="1" w:styleId="ListLabel36">
    <w:name w:val="ListLabel 36"/>
    <w:rPr>
      <w:rFonts w:cs="OpenSymbol"/>
    </w:rPr>
  </w:style>
  <w:style w:type="character" w:customStyle="1" w:styleId="ListLabel37">
    <w:name w:val="ListLabel 37"/>
    <w:rPr>
      <w:rFonts w:ascii="Calibri" w:eastAsia="Calibri" w:hAnsi="Calibri" w:cs="OpenSymbol"/>
      <w:position w:val="0"/>
      <w:sz w:val="24"/>
      <w:szCs w:val="22"/>
      <w:vertAlign w:val="baseline"/>
    </w:rPr>
  </w:style>
  <w:style w:type="character" w:customStyle="1" w:styleId="ListLabel38">
    <w:name w:val="ListLabel 38"/>
    <w:rPr>
      <w:rFonts w:cs="OpenSymbol"/>
    </w:rPr>
  </w:style>
  <w:style w:type="character" w:customStyle="1" w:styleId="ListLabel39">
    <w:name w:val="ListLabel 39"/>
    <w:rPr>
      <w:rFonts w:cs="OpenSymbol"/>
    </w:rPr>
  </w:style>
  <w:style w:type="character" w:customStyle="1" w:styleId="ListLabel40">
    <w:name w:val="ListLabel 40"/>
    <w:rPr>
      <w:rFonts w:cs="OpenSymbol"/>
    </w:rPr>
  </w:style>
  <w:style w:type="character" w:customStyle="1" w:styleId="ListLabel41">
    <w:name w:val="ListLabel 41"/>
    <w:rPr>
      <w:rFonts w:cs="OpenSymbol"/>
    </w:rPr>
  </w:style>
  <w:style w:type="character" w:customStyle="1" w:styleId="ListLabel42">
    <w:name w:val="ListLabel 42"/>
    <w:rPr>
      <w:rFonts w:cs="OpenSymbol"/>
    </w:rPr>
  </w:style>
  <w:style w:type="character" w:customStyle="1" w:styleId="ListLabel43">
    <w:name w:val="ListLabel 43"/>
    <w:rPr>
      <w:rFonts w:cs="OpenSymbol"/>
    </w:rPr>
  </w:style>
  <w:style w:type="character" w:customStyle="1" w:styleId="ListLabel44">
    <w:name w:val="ListLabel 44"/>
    <w:rPr>
      <w:rFonts w:cs="OpenSymbol"/>
    </w:rPr>
  </w:style>
  <w:style w:type="character" w:customStyle="1" w:styleId="ListLabel45">
    <w:name w:val="ListLabel 45"/>
    <w:rPr>
      <w:rFonts w:cs="OpenSymbol"/>
    </w:rPr>
  </w:style>
  <w:style w:type="character" w:customStyle="1" w:styleId="ListLabel46">
    <w:name w:val="ListLabel 46"/>
    <w:rPr>
      <w:rFonts w:ascii="Calibri" w:eastAsia="Calibri" w:hAnsi="Calibri" w:cs="OpenSymbol"/>
      <w:position w:val="0"/>
      <w:sz w:val="24"/>
      <w:szCs w:val="22"/>
      <w:vertAlign w:val="baseline"/>
    </w:rPr>
  </w:style>
  <w:style w:type="character" w:customStyle="1" w:styleId="ListLabel47">
    <w:name w:val="ListLabel 47"/>
    <w:rPr>
      <w:rFonts w:cs="OpenSymbol"/>
    </w:rPr>
  </w:style>
  <w:style w:type="character" w:customStyle="1" w:styleId="ListLabel48">
    <w:name w:val="ListLabel 48"/>
    <w:rPr>
      <w:rFonts w:cs="OpenSymbol"/>
    </w:rPr>
  </w:style>
  <w:style w:type="character" w:customStyle="1" w:styleId="ListLabel49">
    <w:name w:val="ListLabel 49"/>
    <w:rPr>
      <w:rFonts w:cs="OpenSymbol"/>
    </w:rPr>
  </w:style>
  <w:style w:type="character" w:customStyle="1" w:styleId="ListLabel50">
    <w:name w:val="ListLabel 50"/>
    <w:rPr>
      <w:rFonts w:cs="OpenSymbol"/>
    </w:rPr>
  </w:style>
  <w:style w:type="character" w:customStyle="1" w:styleId="ListLabel51">
    <w:name w:val="ListLabel 51"/>
    <w:rPr>
      <w:rFonts w:cs="OpenSymbol"/>
    </w:rPr>
  </w:style>
  <w:style w:type="character" w:customStyle="1" w:styleId="ListLabel52">
    <w:name w:val="ListLabel 52"/>
    <w:rPr>
      <w:rFonts w:cs="OpenSymbol"/>
    </w:rPr>
  </w:style>
  <w:style w:type="character" w:customStyle="1" w:styleId="ListLabel53">
    <w:name w:val="ListLabel 53"/>
    <w:rPr>
      <w:rFonts w:cs="OpenSymbol"/>
    </w:rPr>
  </w:style>
  <w:style w:type="character" w:customStyle="1" w:styleId="ListLabel54">
    <w:name w:val="ListLabel 54"/>
    <w:rPr>
      <w:rFonts w:cs="OpenSymbol"/>
    </w:rPr>
  </w:style>
  <w:style w:type="character" w:customStyle="1" w:styleId="WW8Num5z0">
    <w:name w:val="WW8Num5z0"/>
    <w:rPr>
      <w:rFonts w:ascii="Symbol" w:eastAsia="Symbol" w:hAnsi="Symbol" w:cs="Symbol"/>
      <w:sz w:val="20"/>
      <w:szCs w:val="20"/>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7z0">
    <w:name w:val="WW8Num7z0"/>
    <w:rPr>
      <w:rFonts w:ascii="Symbol" w:eastAsia="Symbol" w:hAnsi="Symbol" w:cs="Symbol"/>
      <w:sz w:val="20"/>
      <w:szCs w:val="20"/>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Internetlink">
    <w:name w:val="Internet link"/>
    <w:rPr>
      <w:color w:val="0000FF"/>
      <w:u w:val="single"/>
    </w:rPr>
  </w:style>
  <w:style w:type="character" w:customStyle="1" w:styleId="WW8Num6z0">
    <w:name w:val="WW8Num6z0"/>
    <w:rPr>
      <w:rFonts w:ascii="Symbol" w:eastAsia="Symbol" w:hAnsi="Symbol" w:cs="Symbol"/>
      <w:sz w:val="20"/>
      <w:szCs w:val="20"/>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WW8Num3z0">
    <w:name w:val="WW8Num3z0"/>
    <w:rPr>
      <w:rFonts w:ascii="Symbol" w:eastAsia="Symbol" w:hAnsi="Symbol" w:cs="Symbol"/>
      <w:sz w:val="20"/>
      <w:szCs w:val="20"/>
    </w:rPr>
  </w:style>
  <w:style w:type="character" w:customStyle="1" w:styleId="BulletSymbols">
    <w:name w:val="Bullet Symbols"/>
    <w:rPr>
      <w:rFonts w:ascii="OpenSymbol" w:eastAsia="OpenSymbol" w:hAnsi="OpenSymbol" w:cs="OpenSymbol"/>
    </w:rPr>
  </w:style>
  <w:style w:type="character" w:styleId="Refdenotaalpie">
    <w:name w:val="footnote reference"/>
    <w:basedOn w:val="Fuentedeprrafopredeter"/>
    <w:rPr>
      <w:position w:val="0"/>
      <w:vertAlign w:val="superscript"/>
    </w:rPr>
  </w:style>
  <w:style w:type="numbering" w:customStyle="1" w:styleId="WWNum1">
    <w:name w:val="WWNum1"/>
    <w:basedOn w:val="Sinlista"/>
    <w:pPr>
      <w:numPr>
        <w:numId w:val="1"/>
      </w:numPr>
    </w:pPr>
  </w:style>
  <w:style w:type="numbering" w:customStyle="1" w:styleId="WWNum2">
    <w:name w:val="WWNum2"/>
    <w:basedOn w:val="Sinlista"/>
    <w:pPr>
      <w:numPr>
        <w:numId w:val="2"/>
      </w:numPr>
    </w:pPr>
  </w:style>
  <w:style w:type="numbering" w:customStyle="1" w:styleId="WWNum3">
    <w:name w:val="WWNum3"/>
    <w:basedOn w:val="Sinlista"/>
    <w:pPr>
      <w:numPr>
        <w:numId w:val="3"/>
      </w:numPr>
    </w:pPr>
  </w:style>
  <w:style w:type="numbering" w:customStyle="1" w:styleId="WWNum4">
    <w:name w:val="WWNum4"/>
    <w:basedOn w:val="Sinlista"/>
    <w:pPr>
      <w:numPr>
        <w:numId w:val="4"/>
      </w:numPr>
    </w:pPr>
  </w:style>
  <w:style w:type="numbering" w:customStyle="1" w:styleId="WWNum5">
    <w:name w:val="WWNum5"/>
    <w:basedOn w:val="Sinlista"/>
    <w:pPr>
      <w:numPr>
        <w:numId w:val="5"/>
      </w:numPr>
    </w:pPr>
  </w:style>
  <w:style w:type="numbering" w:customStyle="1" w:styleId="WWNum6">
    <w:name w:val="WWNum6"/>
    <w:basedOn w:val="Sinlista"/>
    <w:pPr>
      <w:numPr>
        <w:numId w:val="6"/>
      </w:numPr>
    </w:pPr>
  </w:style>
  <w:style w:type="numbering" w:customStyle="1" w:styleId="WWNum7">
    <w:name w:val="WWNum7"/>
    <w:basedOn w:val="Sinlista"/>
    <w:pPr>
      <w:numPr>
        <w:numId w:val="7"/>
      </w:numPr>
    </w:pPr>
  </w:style>
  <w:style w:type="numbering" w:customStyle="1" w:styleId="WW8Num5">
    <w:name w:val="WW8Num5"/>
    <w:basedOn w:val="Sinlista"/>
    <w:pPr>
      <w:numPr>
        <w:numId w:val="8"/>
      </w:numPr>
    </w:pPr>
  </w:style>
  <w:style w:type="numbering" w:customStyle="1" w:styleId="WW8Num7">
    <w:name w:val="WW8Num7"/>
    <w:basedOn w:val="Sinlista"/>
    <w:pPr>
      <w:numPr>
        <w:numId w:val="9"/>
      </w:numPr>
    </w:pPr>
  </w:style>
  <w:style w:type="numbering" w:customStyle="1" w:styleId="WW8Num6">
    <w:name w:val="WW8Num6"/>
    <w:basedOn w:val="Sinlista"/>
    <w:pPr>
      <w:numPr>
        <w:numId w:val="10"/>
      </w:numPr>
    </w:pPr>
  </w:style>
  <w:style w:type="numbering" w:customStyle="1" w:styleId="WW8Num3">
    <w:name w:val="WW8Num3"/>
    <w:basedOn w:val="Sinlista"/>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bc.gob.ar/secretarias/sites/default/files/2023-04/Dise&#241;o%20Curricular%20del%20Profesorado%20de%20Educaci&#243;n%20Secundaria%20en%20Historia_0.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stituto46.edu.a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1597</Words>
  <Characters>8789</Characters>
  <Application>Microsoft Office Word</Application>
  <DocSecurity>0</DocSecurity>
  <Lines>73</Lines>
  <Paragraphs>20</Paragraphs>
  <ScaleCrop>false</ScaleCrop>
  <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Bossero Julio</cp:lastModifiedBy>
  <cp:revision>2</cp:revision>
  <dcterms:created xsi:type="dcterms:W3CDTF">2024-10-30T14:29:00Z</dcterms:created>
  <dcterms:modified xsi:type="dcterms:W3CDTF">2024-10-30T14:29:00Z</dcterms:modified>
</cp:coreProperties>
</file>